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4C015" w14:textId="77777777" w:rsidR="009153CE" w:rsidRDefault="00000000">
      <w:pPr>
        <w:spacing w:before="157" w:after="157" w:line="270" w:lineRule="auto"/>
      </w:pPr>
      <w:bookmarkStart w:id="0" w:name="bilan_des_élections_municipales_à_ec2d19"/>
      <w:r>
        <w:rPr>
          <w:rFonts w:eastAsia="Georgia" w:hAnsi="Georgia" w:cs="Georgia"/>
          <w:b/>
          <w:color w:val="000000"/>
          <w:sz w:val="39"/>
        </w:rPr>
        <w:t>Bilan des élections municipales à La Réunion en mars 2026</w:t>
      </w:r>
      <w:bookmarkEnd w:id="0"/>
    </w:p>
    <w:p w14:paraId="2C79BE92" w14:textId="77777777" w:rsidR="009153CE" w:rsidRPr="007643C2" w:rsidRDefault="00000000">
      <w:pPr>
        <w:spacing w:before="315" w:after="105" w:line="360" w:lineRule="auto"/>
        <w:ind w:left="-30"/>
        <w:rPr>
          <w:sz w:val="24"/>
          <w:szCs w:val="28"/>
        </w:rPr>
      </w:pPr>
      <w:bookmarkStart w:id="1" w:name="contexte_du_scrutin"/>
      <w:r w:rsidRPr="007643C2">
        <w:rPr>
          <w:rFonts w:eastAsia="Georgia" w:hAnsi="Georgia" w:cs="Georgia"/>
          <w:b/>
          <w:color w:val="000000"/>
          <w:sz w:val="32"/>
          <w:szCs w:val="28"/>
        </w:rPr>
        <w:t>Contexte du scrutin</w:t>
      </w:r>
      <w:bookmarkEnd w:id="1"/>
    </w:p>
    <w:p w14:paraId="5590B1D1" w14:textId="77777777" w:rsidR="009153CE" w:rsidRPr="007643C2" w:rsidRDefault="00000000">
      <w:pPr>
        <w:spacing w:before="315" w:after="105" w:line="360" w:lineRule="auto"/>
        <w:ind w:left="-30"/>
        <w:rPr>
          <w:i/>
          <w:iCs/>
        </w:rPr>
      </w:pPr>
      <w:bookmarkStart w:id="2" w:name="calendrier_électoral"/>
      <w:r w:rsidRPr="007643C2">
        <w:rPr>
          <w:rFonts w:eastAsia="Georgia" w:hAnsi="Georgia" w:cs="Georgia"/>
          <w:b/>
          <w:i/>
          <w:iCs/>
          <w:color w:val="000000"/>
          <w:sz w:val="24"/>
        </w:rPr>
        <w:t>Calendrier électoral</w:t>
      </w:r>
      <w:bookmarkEnd w:id="2"/>
    </w:p>
    <w:p w14:paraId="2B028368" w14:textId="77777777" w:rsidR="009153CE" w:rsidRDefault="00000000">
      <w:pPr>
        <w:spacing w:after="210" w:line="360" w:lineRule="auto"/>
      </w:pPr>
      <w:r>
        <w:rPr>
          <w:rFonts w:eastAsia="Georgia" w:hAnsi="Georgia" w:cs="Georgia"/>
          <w:color w:val="000000"/>
        </w:rPr>
        <w:t>Les élections municipales de 2026 à La Réunion se sont tenues selon le calendrier national, avec un premier tour organisé le 15 mars et un second tour le 22 mars 2026. Ce déroulement en deux temps a permis de distinguer les communes où une majorité claire s'est dégagée immédiatement de celles où un nouvel affrontement électoral a été nécessaire.</w:t>
      </w:r>
    </w:p>
    <w:p w14:paraId="1A77F683" w14:textId="77777777" w:rsidR="009153CE" w:rsidRPr="007643C2" w:rsidRDefault="00000000">
      <w:pPr>
        <w:spacing w:before="315" w:after="105" w:line="360" w:lineRule="auto"/>
        <w:ind w:left="-30"/>
        <w:rPr>
          <w:i/>
          <w:iCs/>
        </w:rPr>
      </w:pPr>
      <w:bookmarkStart w:id="3" w:name="cadre_institutionnel"/>
      <w:r w:rsidRPr="007643C2">
        <w:rPr>
          <w:rFonts w:eastAsia="Georgia" w:hAnsi="Georgia" w:cs="Georgia"/>
          <w:b/>
          <w:i/>
          <w:iCs/>
          <w:color w:val="000000"/>
          <w:sz w:val="24"/>
        </w:rPr>
        <w:t>Cadre institutionnel</w:t>
      </w:r>
      <w:bookmarkEnd w:id="3"/>
    </w:p>
    <w:p w14:paraId="0738CF3E" w14:textId="77777777" w:rsidR="009153CE" w:rsidRDefault="00000000">
      <w:pPr>
        <w:spacing w:after="210" w:line="360" w:lineRule="auto"/>
      </w:pPr>
      <w:r>
        <w:rPr>
          <w:rFonts w:eastAsia="Georgia" w:hAnsi="Georgia" w:cs="Georgia"/>
          <w:color w:val="000000"/>
        </w:rPr>
        <w:t>Comme partout en France, ce scrutin avait un double enjeu. Il s'agissait d'élire les conseils municipaux, qui désignent ensuite les maires et les équipes exécutives locales, mais aussi de déterminer la représentation dans les intercommunalités. À La Réunion, l'élection municipale ne se limite donc pas à la gestion communale : elle influe aussi sur les équilibres de coopération entre communes, sur l'aménagement du territoire et sur la conduite des politiques publiques locales.</w:t>
      </w:r>
    </w:p>
    <w:p w14:paraId="29733439" w14:textId="77777777" w:rsidR="009153CE" w:rsidRPr="007643C2" w:rsidRDefault="00000000">
      <w:pPr>
        <w:spacing w:before="315" w:after="105" w:line="360" w:lineRule="auto"/>
        <w:ind w:left="-30"/>
        <w:rPr>
          <w:i/>
          <w:iCs/>
        </w:rPr>
      </w:pPr>
      <w:bookmarkStart w:id="4" w:name="enjeux_territoriaux"/>
      <w:r w:rsidRPr="007643C2">
        <w:rPr>
          <w:rFonts w:eastAsia="Georgia" w:hAnsi="Georgia" w:cs="Georgia"/>
          <w:b/>
          <w:i/>
          <w:iCs/>
          <w:color w:val="000000"/>
          <w:sz w:val="24"/>
        </w:rPr>
        <w:t>Enjeux territoriaux</w:t>
      </w:r>
      <w:bookmarkEnd w:id="4"/>
    </w:p>
    <w:p w14:paraId="43A7391C" w14:textId="77777777" w:rsidR="009153CE" w:rsidRDefault="00000000">
      <w:pPr>
        <w:spacing w:after="210" w:line="360" w:lineRule="auto"/>
      </w:pPr>
      <w:r>
        <w:rPr>
          <w:rFonts w:eastAsia="Georgia" w:hAnsi="Georgia" w:cs="Georgia"/>
          <w:color w:val="000000"/>
        </w:rPr>
        <w:t>Le scrutin de mars 2026 s'inscrit dans un contexte réunionnais marqué par de fortes identités communales. Les campagnes électorales ont mis en avant des préoccupations très concrètes : proximité des services publics, équipements, voirie, emploi local, jeunesse, sécurité du quotidien et développement équilibré des quartiers. Dans de nombreuses communes, les électeurs ont autant voté pour une équipe de terrain que pour une orientation politique générale.</w:t>
      </w:r>
    </w:p>
    <w:p w14:paraId="0146CF2D" w14:textId="77777777" w:rsidR="009153CE" w:rsidRPr="007643C2" w:rsidRDefault="00000000">
      <w:pPr>
        <w:spacing w:before="315" w:after="105" w:line="360" w:lineRule="auto"/>
        <w:ind w:left="-30"/>
        <w:rPr>
          <w:sz w:val="24"/>
          <w:szCs w:val="28"/>
        </w:rPr>
      </w:pPr>
      <w:bookmarkStart w:id="5" w:name="participation_et_données_d_ensemble"/>
      <w:r w:rsidRPr="007643C2">
        <w:rPr>
          <w:rFonts w:eastAsia="Georgia" w:hAnsi="Georgia" w:cs="Georgia"/>
          <w:b/>
          <w:color w:val="000000"/>
          <w:sz w:val="32"/>
          <w:szCs w:val="28"/>
        </w:rPr>
        <w:t>Participation et données d'ensemble</w:t>
      </w:r>
      <w:bookmarkEnd w:id="5"/>
    </w:p>
    <w:p w14:paraId="1486A952" w14:textId="77777777" w:rsidR="009153CE" w:rsidRPr="007643C2" w:rsidRDefault="00000000">
      <w:pPr>
        <w:spacing w:before="315" w:after="105" w:line="360" w:lineRule="auto"/>
        <w:ind w:left="-30"/>
        <w:rPr>
          <w:i/>
          <w:iCs/>
        </w:rPr>
      </w:pPr>
      <w:bookmarkStart w:id="6" w:name="mobilisation_électorale"/>
      <w:r w:rsidRPr="007643C2">
        <w:rPr>
          <w:rFonts w:eastAsia="Georgia" w:hAnsi="Georgia" w:cs="Georgia"/>
          <w:b/>
          <w:i/>
          <w:iCs/>
          <w:color w:val="000000"/>
          <w:sz w:val="24"/>
        </w:rPr>
        <w:t>Mobilisation électorale</w:t>
      </w:r>
      <w:bookmarkEnd w:id="6"/>
    </w:p>
    <w:p w14:paraId="0D1A7C92" w14:textId="77777777" w:rsidR="009153CE" w:rsidRDefault="00000000">
      <w:pPr>
        <w:spacing w:after="210" w:line="360" w:lineRule="auto"/>
      </w:pPr>
      <w:r>
        <w:rPr>
          <w:rFonts w:eastAsia="Georgia" w:hAnsi="Georgia" w:cs="Georgia"/>
          <w:color w:val="000000"/>
        </w:rPr>
        <w:t>Le niveau de participation observé à l'échelle départementale montre que le scrutin municipal conserve une place importante dans la vie démocratique locale. Plus de six électeurs inscrits sur dix se sont déplacés pour voter, ce qui confirme l'attachement des habitants aux enjeux de proximité. Cette mobilisation reste cependant contrastée, car l'abstention demeure élevée et rappelle que toutes les catégories d'électeurs ne se sentent pas également concernées par l'offre politique proposée.</w:t>
      </w:r>
    </w:p>
    <w:p w14:paraId="4C299A7C" w14:textId="77777777" w:rsidR="009153CE" w:rsidRPr="007643C2" w:rsidRDefault="00000000">
      <w:pPr>
        <w:spacing w:before="315" w:after="105" w:line="360" w:lineRule="auto"/>
        <w:ind w:left="-30"/>
        <w:rPr>
          <w:i/>
          <w:iCs/>
        </w:rPr>
      </w:pPr>
      <w:bookmarkStart w:id="7" w:name="lecture_des_chiffres_globaux"/>
      <w:r w:rsidRPr="007643C2">
        <w:rPr>
          <w:rFonts w:eastAsia="Georgia" w:hAnsi="Georgia" w:cs="Georgia"/>
          <w:b/>
          <w:i/>
          <w:iCs/>
          <w:color w:val="000000"/>
          <w:sz w:val="24"/>
        </w:rPr>
        <w:lastRenderedPageBreak/>
        <w:t>Lecture des chiffres globaux</w:t>
      </w:r>
      <w:bookmarkEnd w:id="7"/>
    </w:p>
    <w:p w14:paraId="73185408" w14:textId="77777777" w:rsidR="009153CE" w:rsidRDefault="00000000">
      <w:pPr>
        <w:spacing w:after="210" w:line="360" w:lineRule="auto"/>
      </w:pPr>
      <w:r>
        <w:rPr>
          <w:rFonts w:eastAsia="Georgia" w:hAnsi="Georgia" w:cs="Georgia"/>
          <w:color w:val="000000"/>
        </w:rPr>
        <w:t>À l'échelle de La Réunion, le nombre d'inscrits dépasse 387 000 électeurs et les votants sont plus de 233 000. Les suffrages exprimés représentent l'essentiel des bulletins déposés, tandis qu'une part plus réduite correspond aux votes blancs et nuls. Ces données montrent un scrutin globalement lisible, dans lequel la majorité des électeurs ayant participé ont clairement choisi une liste.</w:t>
      </w:r>
    </w:p>
    <w:p w14:paraId="075CBC48" w14:textId="77777777" w:rsidR="009153CE" w:rsidRPr="007643C2" w:rsidRDefault="00000000">
      <w:pPr>
        <w:spacing w:before="315" w:after="105" w:line="360" w:lineRule="auto"/>
        <w:ind w:left="-30"/>
        <w:rPr>
          <w:i/>
          <w:iCs/>
        </w:rPr>
      </w:pPr>
      <w:bookmarkStart w:id="8" w:name="répartition_des_sièges"/>
      <w:r w:rsidRPr="007643C2">
        <w:rPr>
          <w:rFonts w:eastAsia="Georgia" w:hAnsi="Georgia" w:cs="Georgia"/>
          <w:b/>
          <w:i/>
          <w:iCs/>
          <w:color w:val="000000"/>
          <w:sz w:val="24"/>
        </w:rPr>
        <w:t>Répartition des sièges</w:t>
      </w:r>
      <w:bookmarkEnd w:id="8"/>
    </w:p>
    <w:p w14:paraId="0BAFD5EC" w14:textId="77777777" w:rsidR="009153CE" w:rsidRDefault="00000000">
      <w:pPr>
        <w:spacing w:after="210" w:line="360" w:lineRule="auto"/>
      </w:pPr>
      <w:r>
        <w:rPr>
          <w:rFonts w:eastAsia="Georgia" w:hAnsi="Georgia" w:cs="Georgia"/>
          <w:color w:val="000000"/>
        </w:rPr>
        <w:t>Le scrutin concernait un volume important de sièges municipaux et communautaires, ce qui souligne l'ampleur de son impact institutionnel. Au-delà de la désignation des maires, ce renouvellement a redéfini la composition des conseils municipaux et les rapports de force dans les établissements intercommunaux. Cela signifie que les résultats de mars 2026 pèseront durablement sur les décisions locales des prochaines années.</w:t>
      </w:r>
    </w:p>
    <w:p w14:paraId="73AE8850" w14:textId="77777777" w:rsidR="009153CE" w:rsidRPr="007643C2" w:rsidRDefault="00000000">
      <w:pPr>
        <w:spacing w:before="315" w:after="105" w:line="360" w:lineRule="auto"/>
        <w:ind w:left="-30"/>
        <w:rPr>
          <w:sz w:val="24"/>
          <w:szCs w:val="28"/>
        </w:rPr>
      </w:pPr>
      <w:bookmarkStart w:id="9" w:name="équilibre_politique"/>
      <w:r w:rsidRPr="007643C2">
        <w:rPr>
          <w:rFonts w:eastAsia="Georgia" w:hAnsi="Georgia" w:cs="Georgia"/>
          <w:b/>
          <w:color w:val="000000"/>
          <w:sz w:val="32"/>
          <w:szCs w:val="28"/>
        </w:rPr>
        <w:t>Équilibre politique</w:t>
      </w:r>
      <w:bookmarkEnd w:id="9"/>
    </w:p>
    <w:p w14:paraId="09B04D24" w14:textId="77777777" w:rsidR="009153CE" w:rsidRPr="007643C2" w:rsidRDefault="00000000">
      <w:pPr>
        <w:spacing w:before="315" w:after="105" w:line="360" w:lineRule="auto"/>
        <w:ind w:left="-30"/>
        <w:rPr>
          <w:i/>
          <w:iCs/>
        </w:rPr>
      </w:pPr>
      <w:bookmarkStart w:id="10" w:name="poids_des_listes_locales"/>
      <w:r w:rsidRPr="007643C2">
        <w:rPr>
          <w:rFonts w:eastAsia="Georgia" w:hAnsi="Georgia" w:cs="Georgia"/>
          <w:b/>
          <w:i/>
          <w:iCs/>
          <w:color w:val="000000"/>
          <w:sz w:val="24"/>
        </w:rPr>
        <w:t>Poids des listes locales</w:t>
      </w:r>
      <w:bookmarkEnd w:id="10"/>
    </w:p>
    <w:p w14:paraId="4B8C1D18" w14:textId="77777777" w:rsidR="009153CE" w:rsidRDefault="00000000">
      <w:pPr>
        <w:spacing w:after="210" w:line="360" w:lineRule="auto"/>
      </w:pPr>
      <w:r>
        <w:rPr>
          <w:rFonts w:eastAsia="Georgia" w:hAnsi="Georgia" w:cs="Georgia"/>
          <w:color w:val="000000"/>
        </w:rPr>
        <w:t>L'un des traits les plus marquants du scrutin est le poids considérable des listes classées dans les familles « divers ». Cette situation traduit une vie politique réunionnaise où les ancrages personnels, les alliances locales, les bilans de mandat et les réseaux de terrain jouent souvent un rôle plus fort que les appartenances partisanes strictement nationales. Dans plusieurs communes, la logique de personnalité a donc compté autant que la logique d'étiquette.</w:t>
      </w:r>
    </w:p>
    <w:p w14:paraId="5944F257" w14:textId="77777777" w:rsidR="009153CE" w:rsidRPr="007643C2" w:rsidRDefault="00000000">
      <w:pPr>
        <w:spacing w:before="315" w:after="105" w:line="360" w:lineRule="auto"/>
        <w:ind w:left="-30"/>
        <w:rPr>
          <w:i/>
          <w:iCs/>
        </w:rPr>
      </w:pPr>
      <w:bookmarkStart w:id="11" w:name="répartition_des_forces"/>
      <w:r w:rsidRPr="007643C2">
        <w:rPr>
          <w:rFonts w:eastAsia="Georgia" w:hAnsi="Georgia" w:cs="Georgia"/>
          <w:b/>
          <w:i/>
          <w:iCs/>
          <w:color w:val="000000"/>
          <w:sz w:val="24"/>
        </w:rPr>
        <w:t>Répartition des forces</w:t>
      </w:r>
      <w:bookmarkEnd w:id="11"/>
    </w:p>
    <w:p w14:paraId="4511DE87" w14:textId="77777777" w:rsidR="009153CE" w:rsidRDefault="00000000">
      <w:pPr>
        <w:spacing w:after="210" w:line="360" w:lineRule="auto"/>
      </w:pPr>
      <w:r>
        <w:rPr>
          <w:rFonts w:eastAsia="Georgia" w:hAnsi="Georgia" w:cs="Georgia"/>
          <w:color w:val="000000"/>
        </w:rPr>
        <w:t>Dans l'ensemble départemental, les sensibilités divers gauche, divers centre et divers droite concentrent la plus grande part des sièges municipaux. L'union de la gauche conserve également une place significative, tandis que les autres courants restent plus minoritaires. Cette configuration confirme un paysage éclaté, sans domination absolue d'un seul bloc, et caractérisé par des rapports de force différents d'une commune à l'autre.</w:t>
      </w:r>
    </w:p>
    <w:p w14:paraId="5992C299" w14:textId="77777777" w:rsidR="009153CE" w:rsidRPr="007643C2" w:rsidRDefault="00000000">
      <w:pPr>
        <w:spacing w:before="315" w:after="105" w:line="360" w:lineRule="auto"/>
        <w:ind w:left="-30"/>
        <w:rPr>
          <w:i/>
          <w:iCs/>
        </w:rPr>
      </w:pPr>
      <w:bookmarkStart w:id="12" w:name="basculements_et_continuités"/>
      <w:r w:rsidRPr="007643C2">
        <w:rPr>
          <w:rFonts w:eastAsia="Georgia" w:hAnsi="Georgia" w:cs="Georgia"/>
          <w:b/>
          <w:i/>
          <w:iCs/>
          <w:color w:val="000000"/>
          <w:sz w:val="24"/>
        </w:rPr>
        <w:t>Basculements et continuités</w:t>
      </w:r>
      <w:bookmarkEnd w:id="12"/>
    </w:p>
    <w:p w14:paraId="6E405473" w14:textId="77777777" w:rsidR="009153CE" w:rsidRDefault="00000000">
      <w:pPr>
        <w:spacing w:after="210" w:line="360" w:lineRule="auto"/>
      </w:pPr>
      <w:r>
        <w:rPr>
          <w:rFonts w:eastAsia="Georgia" w:hAnsi="Georgia" w:cs="Georgia"/>
          <w:color w:val="000000"/>
        </w:rPr>
        <w:t xml:space="preserve">Le scrutin a combiné des reconductions d'équipes implantées et des changements plus visibles dans certaines communes. Cette coexistence entre stabilité et renouvellement est typique des élections municipales, où le bilan local peut favoriser la continuité, tandis que l'usure du pouvoir, les divisions </w:t>
      </w:r>
      <w:r>
        <w:rPr>
          <w:rFonts w:eastAsia="Georgia" w:hAnsi="Georgia" w:cs="Georgia"/>
          <w:color w:val="000000"/>
        </w:rPr>
        <w:lastRenderedPageBreak/>
        <w:t>internes ou les alliances de second tour peuvent provoquer des basculements. Le résultat final dessine ainsi une carte politique nuancée plutôt qu'un mouvement uniforme à l'échelle de l'île.</w:t>
      </w:r>
    </w:p>
    <w:p w14:paraId="34F4BD0F" w14:textId="77777777" w:rsidR="009153CE" w:rsidRPr="007643C2" w:rsidRDefault="00000000">
      <w:pPr>
        <w:spacing w:before="315" w:after="105" w:line="360" w:lineRule="auto"/>
        <w:ind w:left="-30"/>
        <w:rPr>
          <w:sz w:val="24"/>
          <w:szCs w:val="28"/>
        </w:rPr>
      </w:pPr>
      <w:bookmarkStart w:id="13" w:name="enseignements_pour_la_réunion"/>
      <w:r w:rsidRPr="007643C2">
        <w:rPr>
          <w:rFonts w:eastAsia="Georgia" w:hAnsi="Georgia" w:cs="Georgia"/>
          <w:b/>
          <w:color w:val="000000"/>
          <w:sz w:val="32"/>
          <w:szCs w:val="28"/>
        </w:rPr>
        <w:t>Enseignements pour La Réunion</w:t>
      </w:r>
      <w:bookmarkEnd w:id="13"/>
    </w:p>
    <w:p w14:paraId="2C05B6E7" w14:textId="77777777" w:rsidR="009153CE" w:rsidRPr="007643C2" w:rsidRDefault="00000000">
      <w:pPr>
        <w:spacing w:before="315" w:after="105" w:line="360" w:lineRule="auto"/>
        <w:ind w:left="-30"/>
        <w:rPr>
          <w:i/>
          <w:iCs/>
        </w:rPr>
      </w:pPr>
      <w:bookmarkStart w:id="14" w:name="primauté_de_la_proximité"/>
      <w:r w:rsidRPr="007643C2">
        <w:rPr>
          <w:rFonts w:eastAsia="Georgia" w:hAnsi="Georgia" w:cs="Georgia"/>
          <w:b/>
          <w:i/>
          <w:iCs/>
          <w:color w:val="000000"/>
          <w:sz w:val="24"/>
        </w:rPr>
        <w:t>Primauté de la proximité</w:t>
      </w:r>
      <w:bookmarkEnd w:id="14"/>
    </w:p>
    <w:p w14:paraId="72467636" w14:textId="77777777" w:rsidR="009153CE" w:rsidRDefault="00000000">
      <w:pPr>
        <w:spacing w:after="210" w:line="360" w:lineRule="auto"/>
      </w:pPr>
      <w:r>
        <w:rPr>
          <w:rFonts w:eastAsia="Georgia" w:hAnsi="Georgia" w:cs="Georgia"/>
          <w:color w:val="000000"/>
        </w:rPr>
        <w:t>Le premier enseignement est la force de la politique de proximité. Les électeurs réunionnais ont confirmé que les enjeux municipaux restent d'abord liés au quotidien : cadre de vie, organisation des services, aménagement, solidarité et réponses concrètes aux besoins des habitants. Dans ce contexte, les équipes capables de démontrer leur présence sur le terrain disposent souvent d'un avantage décisif.</w:t>
      </w:r>
    </w:p>
    <w:p w14:paraId="1431DB99" w14:textId="77777777" w:rsidR="009153CE" w:rsidRPr="007643C2" w:rsidRDefault="00000000">
      <w:pPr>
        <w:spacing w:before="315" w:after="105" w:line="360" w:lineRule="auto"/>
        <w:ind w:left="-30"/>
        <w:rPr>
          <w:i/>
          <w:iCs/>
        </w:rPr>
      </w:pPr>
      <w:bookmarkStart w:id="15" w:name="fragmentation_politique_durable"/>
      <w:r w:rsidRPr="007643C2">
        <w:rPr>
          <w:rFonts w:eastAsia="Georgia" w:hAnsi="Georgia" w:cs="Georgia"/>
          <w:b/>
          <w:i/>
          <w:iCs/>
          <w:color w:val="000000"/>
          <w:sz w:val="24"/>
        </w:rPr>
        <w:t>Fragmentation politique durable</w:t>
      </w:r>
      <w:bookmarkEnd w:id="15"/>
    </w:p>
    <w:p w14:paraId="57C2384C" w14:textId="77777777" w:rsidR="009153CE" w:rsidRDefault="00000000">
      <w:pPr>
        <w:spacing w:after="210" w:line="360" w:lineRule="auto"/>
      </w:pPr>
      <w:r>
        <w:rPr>
          <w:rFonts w:eastAsia="Georgia" w:hAnsi="Georgia" w:cs="Georgia"/>
          <w:color w:val="000000"/>
        </w:rPr>
        <w:t>Le second enseignement concerne la structure du paysage politique local. La dispersion des étiquettes et la forte présence de listes de type « divers » montrent qu'à La Réunion, les grandes lectures partisanes nationales ne suffisent pas à expliquer les résultats. L'analyse doit donc tenir compte des histoires communales, des héritages familiaux ou militants, des alliances ponctuelles et des équilibres propres à chaque bassin de vie.</w:t>
      </w:r>
    </w:p>
    <w:p w14:paraId="50F6B2E5" w14:textId="77777777" w:rsidR="009153CE" w:rsidRPr="007643C2" w:rsidRDefault="00000000">
      <w:pPr>
        <w:spacing w:before="315" w:after="105" w:line="360" w:lineRule="auto"/>
        <w:ind w:left="-30"/>
        <w:rPr>
          <w:i/>
          <w:iCs/>
        </w:rPr>
      </w:pPr>
      <w:bookmarkStart w:id="16" w:name="enjeu_intercommunal"/>
      <w:r w:rsidRPr="007643C2">
        <w:rPr>
          <w:rFonts w:eastAsia="Georgia" w:hAnsi="Georgia" w:cs="Georgia"/>
          <w:b/>
          <w:i/>
          <w:iCs/>
          <w:color w:val="000000"/>
          <w:sz w:val="24"/>
        </w:rPr>
        <w:t>Enjeu intercommunal</w:t>
      </w:r>
      <w:bookmarkEnd w:id="16"/>
    </w:p>
    <w:p w14:paraId="2339DBA0" w14:textId="77777777" w:rsidR="009153CE" w:rsidRDefault="00000000">
      <w:pPr>
        <w:spacing w:after="210" w:line="360" w:lineRule="auto"/>
      </w:pPr>
      <w:r>
        <w:rPr>
          <w:rFonts w:eastAsia="Georgia" w:hAnsi="Georgia" w:cs="Georgia"/>
          <w:color w:val="000000"/>
        </w:rPr>
        <w:t>Enfin, les municipales de 2026 rappellent que la gouvernance locale dépasse le seul cadre de la mairie. Les résultats influencent aussi les intercommunalités, qui interviennent sur des sujets structurants comme le développement économique, les transports, les déchets, l'eau ou l'aménagement. Le scrutin de mars 2026 constitue donc un moment important pour comprendre l'orientation politique et administrative de La Réunion pour les années à venir.</w:t>
      </w:r>
    </w:p>
    <w:sectPr w:rsidR="009153CE">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roman"/>
    <w:notTrueType/>
    <w:pitch w:val="default"/>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3CE"/>
    <w:rsid w:val="002452AA"/>
    <w:rsid w:val="007643C2"/>
    <w:rsid w:val="009153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E5A92"/>
  <w15:docId w15:val="{19A41557-C956-4225-A472-25BA686D1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fr-FR"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882</Words>
  <Characters>4855</Characters>
  <Application>Microsoft Office Word</Application>
  <DocSecurity>0</DocSecurity>
  <Lines>40</Lines>
  <Paragraphs>11</Paragraphs>
  <ScaleCrop>false</ScaleCrop>
  <Company/>
  <LinksUpToDate>false</LinksUpToDate>
  <CharactersWithSpaces>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David BILLAUD</cp:lastModifiedBy>
  <cp:revision>2</cp:revision>
  <dcterms:created xsi:type="dcterms:W3CDTF">2026-04-04T06:37:00Z</dcterms:created>
  <dcterms:modified xsi:type="dcterms:W3CDTF">2026-04-04T06:39:00Z</dcterms:modified>
</cp:coreProperties>
</file>