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C5B21" w:rsidRPr="008C5B21" w:rsidRDefault="008C5B21" w:rsidP="008C5B21">
      <w:r w:rsidRPr="008C5B21">
        <w:t>RAPPORT D'ACTIVITÉ 2024 TECHNOVATION SOLUTIONS</w:t>
      </w:r>
    </w:p>
    <w:p w:rsidR="008C5B21" w:rsidRPr="008C5B21" w:rsidRDefault="008C5B21" w:rsidP="008C5B21">
      <w:r w:rsidRPr="008C5B21">
        <w:rPr>
          <w:b/>
          <w:bCs/>
        </w:rPr>
        <w:t>Message du Directeur Général</w:t>
      </w:r>
    </w:p>
    <w:p w:rsidR="008C5B21" w:rsidRPr="008C5B21" w:rsidRDefault="008C5B21" w:rsidP="008C5B21">
      <w:r w:rsidRPr="008C5B21">
        <w:t>L'année 2024 restera marquée dans l'histoire de TechNovation Solutions comme une année de transformation et de croissance exceptionnelle. Nous avons non seulement consolidé notre position de leader sur le marché français des solutions numériques pour les PME, mais nous avons également franchi des étapes décisives dans notre expansion internationale.</w:t>
      </w:r>
    </w:p>
    <w:p w:rsidR="008C5B21" w:rsidRPr="008C5B21" w:rsidRDefault="008C5B21" w:rsidP="008C5B21">
      <w:r w:rsidRPr="008C5B21">
        <w:t>Cette performance remarquable est le fruit d'une stratégie claire, d'investissements soutenus en recherche et développement, et surtout de l'engagement sans faille de nos 450 collaborateurs. Leur expertise, leur créativité et leur dévouement constituent le véritable moteur de notre succès.</w:t>
      </w:r>
    </w:p>
    <w:p w:rsidR="008C5B21" w:rsidRPr="008C5B21" w:rsidRDefault="008C5B21" w:rsidP="008C5B21">
      <w:r w:rsidRPr="008C5B21">
        <w:t>L'année écoulée nous a également confirmé dans nos convictions : l'innovation technologique doit servir l'humain et contribuer à un développement durable. C'est dans cette optique que nous avons lancé plusieurs initiatives majeures, notamment notre programme "Tech for Good" et notre plan de neutralité carbone à l'horizon 2030.</w:t>
      </w:r>
    </w:p>
    <w:p w:rsidR="008C5B21" w:rsidRPr="008C5B21" w:rsidRDefault="008C5B21" w:rsidP="008C5B21">
      <w:r w:rsidRPr="008C5B21">
        <w:t>Je tiens à remercier chaleureusement nos clients, partenaires et actionnaires pour leur confiance renouvelée. Ensemble, nous construisons l'avenir numérique de demain.</w:t>
      </w:r>
    </w:p>
    <w:p w:rsidR="008C5B21" w:rsidRPr="008C5B21" w:rsidRDefault="008C5B21" w:rsidP="008C5B21">
      <w:r w:rsidRPr="008C5B21">
        <w:t>Jean-Pierre Martineau Directeur Général</w:t>
      </w:r>
    </w:p>
    <w:p w:rsidR="008C5B21" w:rsidRPr="008C5B21" w:rsidRDefault="008C5B21" w:rsidP="008C5B21">
      <w:r w:rsidRPr="008C5B21">
        <w:rPr>
          <w:b/>
          <w:bCs/>
        </w:rPr>
        <w:t>Présentation de l'entreprise</w:t>
      </w:r>
    </w:p>
    <w:p w:rsidR="008C5B21" w:rsidRPr="008C5B21" w:rsidRDefault="008C5B21" w:rsidP="008C5B21">
      <w:r w:rsidRPr="008C5B21">
        <w:rPr>
          <w:i/>
          <w:iCs/>
          <w:color w:val="0B769F" w:themeColor="accent4" w:themeShade="BF"/>
        </w:rPr>
        <w:t>Histoire et mission</w:t>
      </w:r>
    </w:p>
    <w:p w:rsidR="008C5B21" w:rsidRPr="008C5B21" w:rsidRDefault="008C5B21" w:rsidP="008C5B21">
      <w:r w:rsidRPr="008C5B21">
        <w:t>TechNovation Solutions a été fondée en 2015 par une équipe d'ingénieurs passionnés par l'innovation technologique. Notre mission consiste à démocratiser l'accès aux technologies de pointe pour les petites et moyennes entreprises, en proposant des solutions sur mesure, évolutives et accessibles.</w:t>
      </w:r>
    </w:p>
    <w:p w:rsidR="008C5B21" w:rsidRPr="008C5B21" w:rsidRDefault="008C5B21" w:rsidP="008C5B21">
      <w:r w:rsidRPr="008C5B21">
        <w:t>Depuis notre création, nous avons accompagné plus de 2 500 entreprises dans leur transformation numérique, en développant des solutions innovantes dans trois domaines d'expertise principaux : la gestion d'entreprise, l'intelligence artificielle et la cybersécurité.</w:t>
      </w:r>
    </w:p>
    <w:p w:rsidR="008C5B21" w:rsidRPr="008C5B21" w:rsidRDefault="008C5B21" w:rsidP="008C5B21">
      <w:r w:rsidRPr="008C5B21">
        <w:t>Notre croissance régulière nous a menés d'une startup de 8 collaborateurs à une entreprise de 450 personnes, avec un chiffre d'affaires qui a été multiplié par 15 en moins de dix ans. Cette expansion s'est faite en préservant nos valeurs fondamentales et notre culture d'entreprise centrée sur l'innovation et l'excellence.</w:t>
      </w:r>
    </w:p>
    <w:p w:rsidR="008C5B21" w:rsidRPr="008C5B21" w:rsidRDefault="008C5B21" w:rsidP="008C5B21">
      <w:r w:rsidRPr="008C5B21">
        <w:rPr>
          <w:i/>
          <w:iCs/>
          <w:color w:val="0B769F" w:themeColor="accent4" w:themeShade="BF"/>
        </w:rPr>
        <w:t>Valeurs fondamentales</w:t>
      </w:r>
    </w:p>
    <w:p w:rsidR="008C5B21" w:rsidRDefault="008C5B21" w:rsidP="008C5B21">
      <w:r w:rsidRPr="008C5B21">
        <w:rPr>
          <w:u w:val="single"/>
        </w:rPr>
        <w:t>Innovation</w:t>
      </w:r>
      <w:r w:rsidRPr="008C5B21">
        <w:t xml:space="preserve"> </w:t>
      </w:r>
    </w:p>
    <w:p w:rsidR="008C5B21" w:rsidRPr="008C5B21" w:rsidRDefault="008C5B21" w:rsidP="008C5B21">
      <w:r w:rsidRPr="008C5B21">
        <w:t>L'innovation constitue le cœur de notre ADN. Nous investissons 18% de notre chiffre d'affaires en recherche et développement pour anticiper les besoins de demain et proposer des solutions technologiques de pointe. Cette approche nous permet de rester à l'avant-garde des évolutions technologiques.</w:t>
      </w:r>
    </w:p>
    <w:p w:rsidR="008C5B21" w:rsidRDefault="008C5B21" w:rsidP="008C5B21">
      <w:r w:rsidRPr="008C5B21">
        <w:rPr>
          <w:u w:val="single"/>
        </w:rPr>
        <w:t>Excellence</w:t>
      </w:r>
      <w:r w:rsidRPr="008C5B21">
        <w:t xml:space="preserve"> </w:t>
      </w:r>
    </w:p>
    <w:p w:rsidR="008C5B21" w:rsidRPr="008C5B21" w:rsidRDefault="008C5B21" w:rsidP="008C5B21">
      <w:r w:rsidRPr="008C5B21">
        <w:t xml:space="preserve">Nous nous engageons à délivrer des produits et services de la plus haute qualité. Cette exigence d'excellence se traduit par des processus rigoureux, une amélioration continue et une attention </w:t>
      </w:r>
      <w:r w:rsidRPr="008C5B21">
        <w:lastRenderedPageBreak/>
        <w:t>particulière à la satisfaction client. Nos certifications ISO 9001 et ISO 27001 témoignent de cet engagement.</w:t>
      </w:r>
    </w:p>
    <w:p w:rsidR="008C5B21" w:rsidRDefault="008C5B21" w:rsidP="008C5B21">
      <w:pPr>
        <w:rPr>
          <w:u w:val="single"/>
        </w:rPr>
      </w:pPr>
      <w:r w:rsidRPr="008C5B21">
        <w:rPr>
          <w:u w:val="single"/>
        </w:rPr>
        <w:t>Collaboration</w:t>
      </w:r>
    </w:p>
    <w:p w:rsidR="008C5B21" w:rsidRPr="008C5B21" w:rsidRDefault="008C5B21" w:rsidP="008C5B21">
      <w:r w:rsidRPr="008C5B21">
        <w:t xml:space="preserve">Le succès de nos clients est notre priorité absolue. Nous privilégions une approche collaborative, basée sur l'écoute, la transparence et la </w:t>
      </w:r>
      <w:proofErr w:type="spellStart"/>
      <w:r w:rsidRPr="008C5B21">
        <w:t>co-création</w:t>
      </w:r>
      <w:proofErr w:type="spellEnd"/>
      <w:r w:rsidRPr="008C5B21">
        <w:t xml:space="preserve"> de solutions adaptées aux spécificités de chaque entreprise. Cette philosophie guide toutes nos interactions.</w:t>
      </w:r>
    </w:p>
    <w:p w:rsidR="008C5B21" w:rsidRDefault="008C5B21" w:rsidP="008C5B21">
      <w:pPr>
        <w:rPr>
          <w:u w:val="single"/>
        </w:rPr>
      </w:pPr>
      <w:r w:rsidRPr="008C5B21">
        <w:rPr>
          <w:u w:val="single"/>
        </w:rPr>
        <w:t>Responsabilité</w:t>
      </w:r>
    </w:p>
    <w:p w:rsidR="008C5B21" w:rsidRPr="008C5B21" w:rsidRDefault="008C5B21" w:rsidP="008C5B21">
      <w:r w:rsidRPr="008C5B21">
        <w:t>Conscients de notre impact sur la société et l'environnement, nous nous engageons dans une démarche de développement durable et de responsabilité sociétale. Nos actions contribuent à un monde plus équitable et respectueux de l'environnement.</w:t>
      </w:r>
    </w:p>
    <w:p w:rsidR="008C5B21" w:rsidRPr="008C5B21" w:rsidRDefault="008C5B21" w:rsidP="008C5B21">
      <w:r w:rsidRPr="008C5B21">
        <w:t>Notre vision à long terme consiste à devenir l'acteur de référence en Europe pour la transformation numérique des PME. Nous voulons être reconnus comme le partenaire privilégié des entreprises qui souhaitent tirer parti des technologies émergentes pour améliorer leur compétitivité et leur impact sociétal.</w:t>
      </w:r>
    </w:p>
    <w:p w:rsidR="008C5B21" w:rsidRPr="008C5B21" w:rsidRDefault="008C5B21" w:rsidP="008C5B21">
      <w:r w:rsidRPr="008C5B21">
        <w:rPr>
          <w:b/>
          <w:bCs/>
        </w:rPr>
        <w:t>Gouvernance et organisation</w:t>
      </w:r>
    </w:p>
    <w:p w:rsidR="008C5B21" w:rsidRPr="008C5B21" w:rsidRDefault="008C5B21" w:rsidP="008C5B21">
      <w:r w:rsidRPr="008C5B21">
        <w:rPr>
          <w:i/>
          <w:iCs/>
          <w:color w:val="0B769F" w:themeColor="accent4" w:themeShade="BF"/>
        </w:rPr>
        <w:t>Structure organisationnelle</w:t>
      </w:r>
    </w:p>
    <w:p w:rsidR="008C5B21" w:rsidRPr="008C5B21" w:rsidRDefault="008C5B21" w:rsidP="008C5B21">
      <w:r w:rsidRPr="008C5B21">
        <w:t>TechNovation Solutions adopte une structure organisationnelle matricielle qui favorise la transversalité et l'agilité. Cette organisation nous permet de répondre efficacement aux défis complexes de nos clients tout en maintenant une forte cohésion d'équipe.</w:t>
      </w:r>
    </w:p>
    <w:p w:rsidR="008C5B21" w:rsidRPr="008C5B21" w:rsidRDefault="008C5B21" w:rsidP="008C5B21">
      <w:r w:rsidRPr="008C5B21">
        <w:t>La direction générale, sous la responsabilité de Jean-Pierre Martineau, définit la stratégie globale de l'entreprise et supervise sa mise en œuvre. Elle s'appuie sur un comité de direction composé de six membres expérimentés, chacun expert dans son domaine.</w:t>
      </w:r>
    </w:p>
    <w:p w:rsidR="008C5B21" w:rsidRPr="008C5B21" w:rsidRDefault="008C5B21" w:rsidP="008C5B21">
      <w:r w:rsidRPr="008C5B21">
        <w:t>Jean-Pierre Martineau dirige l'entreprise depuis sa création. Diplômé de l'École Polytechnique et titulaire d'un MBA de HEC, il possède plus de 20 ans d'expérience dans le secteur technologique. Sous sa direction, TechNovation Solutions a connu une croissance exceptionnelle et s'est imposée comme un acteur incontournable du marché.</w:t>
      </w:r>
    </w:p>
    <w:p w:rsidR="008C5B21" w:rsidRPr="008C5B21" w:rsidRDefault="008C5B21" w:rsidP="008C5B21">
      <w:r w:rsidRPr="008C5B21">
        <w:t>Sophie Durand, directrice commerciale et marketing, développe et met en œuvre la stratégie commerciale de l'entreprise. Ancienne directrice commerciale chez Salesforce Europe, elle a rejoint l'entreprise en 2020 et a contribué à doubler le chiffre d'affaires en quatre ans.</w:t>
      </w:r>
    </w:p>
    <w:p w:rsidR="008C5B21" w:rsidRPr="008C5B21" w:rsidRDefault="008C5B21" w:rsidP="008C5B21">
      <w:r w:rsidRPr="008C5B21">
        <w:t>Marc Lefevre, directeur technique et innovation, coordonne l'ensemble des activités de développement, de recherche et d'innovation. Docteur en informatique et ancien ingénieur chez Google, il supervise une équipe de 180 développeurs et ingénieurs répartis en équipes agiles.</w:t>
      </w:r>
    </w:p>
    <w:p w:rsidR="008C5B21" w:rsidRPr="008C5B21" w:rsidRDefault="008C5B21" w:rsidP="008C5B21">
      <w:r w:rsidRPr="008C5B21">
        <w:t>Catherine Moreau dirige la politique de gestion des ressources humaines, du recrutement au développement des compétences, en passant par la gestion des carrières et le bien-être au travail.</w:t>
      </w:r>
    </w:p>
    <w:p w:rsidR="008C5B21" w:rsidRPr="008C5B21" w:rsidRDefault="008C5B21" w:rsidP="008C5B21">
      <w:r w:rsidRPr="008C5B21">
        <w:t>Thomas Bernard supervise la gestion financière, comptable et administrative de l'entreprise. Il s'assure de la solidité financière de TechNovation Solutions et pilote les processus de contrôle de gestion et de reporting.</w:t>
      </w:r>
    </w:p>
    <w:p w:rsidR="008C5B21" w:rsidRPr="008C5B21" w:rsidRDefault="008C5B21" w:rsidP="008C5B21">
      <w:r w:rsidRPr="008C5B21">
        <w:rPr>
          <w:i/>
          <w:iCs/>
          <w:color w:val="0B769F" w:themeColor="accent4" w:themeShade="BF"/>
        </w:rPr>
        <w:t>Conseil d'administration</w:t>
      </w:r>
    </w:p>
    <w:p w:rsidR="008C5B21" w:rsidRPr="008C5B21" w:rsidRDefault="008C5B21" w:rsidP="008C5B21">
      <w:r w:rsidRPr="008C5B21">
        <w:lastRenderedPageBreak/>
        <w:t>Le conseil d'administration de TechNovation Solutions est composé de sept membres, incluant trois administrateurs indépendants. Cette gouvernance équilibrée assure une supervision efficace de la stratégie et des performances de l'entreprise.</w:t>
      </w:r>
    </w:p>
    <w:p w:rsidR="008C5B21" w:rsidRPr="008C5B21" w:rsidRDefault="008C5B21" w:rsidP="008C5B21">
      <w:r w:rsidRPr="008C5B21">
        <w:t>Parmi les administrateurs indépendants figurent Marie Dubois, ancienne directrice générale d'Atos Europe, et Pierre Martin, expert en intelligence artificielle et professeur à l'École Normale Supérieure.</w:t>
      </w:r>
    </w:p>
    <w:p w:rsidR="008C5B21" w:rsidRPr="008C5B21" w:rsidRDefault="008C5B21" w:rsidP="008C5B21">
      <w:r w:rsidRPr="008C5B21">
        <w:rPr>
          <w:b/>
          <w:bCs/>
        </w:rPr>
        <w:t>Activités et métiers</w:t>
      </w:r>
    </w:p>
    <w:p w:rsidR="008C5B21" w:rsidRPr="008C5B21" w:rsidRDefault="008C5B21" w:rsidP="008C5B21">
      <w:r w:rsidRPr="008C5B21">
        <w:rPr>
          <w:i/>
          <w:iCs/>
          <w:color w:val="0B769F" w:themeColor="accent4" w:themeShade="BF"/>
        </w:rPr>
        <w:t>Solutions de gestion d'entreprise</w:t>
      </w:r>
    </w:p>
    <w:p w:rsidR="008C5B21" w:rsidRPr="008C5B21" w:rsidRDefault="008C5B21" w:rsidP="008C5B21">
      <w:r w:rsidRPr="008C5B21">
        <w:t>Nos solutions ERP constituent le pilier historique de notre activité. Développées spécifiquement pour les PME, elles intègrent l'ensemble des processus métier : comptabilité, gestion commerciale, ressources humaines, production et logistique.</w:t>
      </w:r>
    </w:p>
    <w:p w:rsidR="008C5B21" w:rsidRPr="008C5B21" w:rsidRDefault="008C5B21" w:rsidP="008C5B21">
      <w:r w:rsidRPr="008C5B21">
        <w:t xml:space="preserve">L'année 2024 a été marquée par le lancement d'ERP </w:t>
      </w:r>
      <w:proofErr w:type="spellStart"/>
      <w:r w:rsidRPr="008C5B21">
        <w:t>Connect</w:t>
      </w:r>
      <w:proofErr w:type="spellEnd"/>
      <w:r w:rsidRPr="008C5B21">
        <w:t xml:space="preserve"> 5.0, une nouvelle version entièrement repensée qui intègre des fonctionnalités d'intelligence artificielle pour l'aide à la décision. Cette solution modulaire permet aux entreprises de commencer avec les modules essentiels et d'évoluer progressivement selon leurs besoins.</w:t>
      </w:r>
    </w:p>
    <w:p w:rsidR="008C5B21" w:rsidRPr="008C5B21" w:rsidRDefault="008C5B21" w:rsidP="008C5B21">
      <w:r w:rsidRPr="008C5B21">
        <w:t>Plus de 800 entreprises utilisent aujourd'hui nos solutions ERP, avec un taux de satisfaction client de 94%. La migration vers la nouvelle version 5.0 a été entreprise par 65% de notre base installée dès les six premiers mois de commercialisation.</w:t>
      </w:r>
    </w:p>
    <w:p w:rsidR="008C5B21" w:rsidRPr="008C5B21" w:rsidRDefault="008C5B21" w:rsidP="008C5B21">
      <w:r w:rsidRPr="008C5B21">
        <w:t xml:space="preserve">Notre plateforme CRM </w:t>
      </w:r>
      <w:proofErr w:type="spellStart"/>
      <w:r w:rsidRPr="008C5B21">
        <w:t>SmartConnect</w:t>
      </w:r>
      <w:proofErr w:type="spellEnd"/>
      <w:r w:rsidRPr="008C5B21">
        <w:t xml:space="preserve"> aide les entreprises à optimiser leurs relations commerciales et à améliorer leur performance commerciale. Intégrée nativement à nos solutions ERP, elle offre une vue à 360° de l'activité commerciale.</w:t>
      </w:r>
    </w:p>
    <w:p w:rsidR="008C5B21" w:rsidRPr="008C5B21" w:rsidRDefault="008C5B21" w:rsidP="008C5B21">
      <w:r w:rsidRPr="008C5B21">
        <w:t xml:space="preserve">Face à la demande croissante d'outils d'analyse et de pilotage, nous avons développé </w:t>
      </w:r>
      <w:proofErr w:type="spellStart"/>
      <w:r w:rsidRPr="008C5B21">
        <w:t>DataVision</w:t>
      </w:r>
      <w:proofErr w:type="spellEnd"/>
      <w:r w:rsidRPr="008C5B21">
        <w:t>, une suite complète de business intelligence spécialement adaptée aux PME. Cette solution permet de transformer les données métier en insights actionnables grâce à des tableaux de bord intuitifs et des analyses prédictives.</w:t>
      </w:r>
    </w:p>
    <w:p w:rsidR="008C5B21" w:rsidRPr="008C5B21" w:rsidRDefault="008C5B21" w:rsidP="008C5B21">
      <w:r w:rsidRPr="008C5B21">
        <w:rPr>
          <w:i/>
          <w:iCs/>
          <w:color w:val="0B769F" w:themeColor="accent4" w:themeShade="BF"/>
        </w:rPr>
        <w:t>Intelligence artificielle et automatisation</w:t>
      </w:r>
    </w:p>
    <w:p w:rsidR="008C5B21" w:rsidRPr="008C5B21" w:rsidRDefault="008C5B21" w:rsidP="008C5B21">
      <w:r w:rsidRPr="008C5B21">
        <w:t>TechNovation AI représente notre incursion dans le domaine de l'intelligence artificielle appliquée aux processus métier. Cette plateforme permet aux entreprises d'automatiser des tâches répétitives, d'améliorer leur prise de décision et d'optimiser leurs performances opérationnelles.</w:t>
      </w:r>
    </w:p>
    <w:p w:rsidR="008C5B21" w:rsidRPr="008C5B21" w:rsidRDefault="008C5B21" w:rsidP="008C5B21">
      <w:r w:rsidRPr="008C5B21">
        <w:t>Les domaines d'application couvrent la reconnaissance documentaire, l'analyse prédictive, l'optimisation de la chaîne logistique et l'assistance virtuelle. En 2024, nous avons développé plus de 50 modèles d'IA spécialisés pour différents secteurs d'activité.</w:t>
      </w:r>
    </w:p>
    <w:p w:rsidR="008C5B21" w:rsidRPr="008C5B21" w:rsidRDefault="008C5B21" w:rsidP="008C5B21">
      <w:r w:rsidRPr="008C5B21">
        <w:t>Notre solution RPA (</w:t>
      </w:r>
      <w:proofErr w:type="spellStart"/>
      <w:r w:rsidRPr="008C5B21">
        <w:t>Robotic</w:t>
      </w:r>
      <w:proofErr w:type="spellEnd"/>
      <w:r w:rsidRPr="008C5B21">
        <w:t xml:space="preserve"> Process Automation) permet aux entreprises d'automatiser leurs processus administratifs et opérationnels sans modification de leur système d'information existant. En 2024, nous avons automatisé plus de 1 000 processus chez nos clients, générant une économie moyenne de 30% sur les coûts de traitement administratif.</w:t>
      </w:r>
    </w:p>
    <w:p w:rsidR="008C5B21" w:rsidRPr="008C5B21" w:rsidRDefault="008C5B21" w:rsidP="008C5B21">
      <w:r w:rsidRPr="008C5B21">
        <w:t xml:space="preserve">Nos solutions d'assistance virtuelle améliorent l'expérience client et optimisent la gestion du service après-vente. Basés sur des technologies de traitement du langage naturel avancées, nos </w:t>
      </w:r>
      <w:proofErr w:type="spellStart"/>
      <w:r w:rsidRPr="008C5B21">
        <w:t>chatbots</w:t>
      </w:r>
      <w:proofErr w:type="spellEnd"/>
      <w:r w:rsidRPr="008C5B21">
        <w:t xml:space="preserve"> comprennent et répondent aux demandes clients de manière naturelle et pertinente.</w:t>
      </w:r>
    </w:p>
    <w:p w:rsidR="008C5B21" w:rsidRPr="008C5B21" w:rsidRDefault="008C5B21" w:rsidP="008C5B21">
      <w:r w:rsidRPr="008C5B21">
        <w:rPr>
          <w:i/>
          <w:iCs/>
          <w:color w:val="0B769F" w:themeColor="accent4" w:themeShade="BF"/>
        </w:rPr>
        <w:t>Cybersécurité et protection des données</w:t>
      </w:r>
    </w:p>
    <w:p w:rsidR="008C5B21" w:rsidRPr="008C5B21" w:rsidRDefault="008C5B21" w:rsidP="008C5B21">
      <w:r w:rsidRPr="008C5B21">
        <w:lastRenderedPageBreak/>
        <w:t xml:space="preserve">La cybersécurité constitue un enjeu majeur pour nos clients. Notre offre </w:t>
      </w:r>
      <w:proofErr w:type="spellStart"/>
      <w:r w:rsidRPr="008C5B21">
        <w:t>CyberShield</w:t>
      </w:r>
      <w:proofErr w:type="spellEnd"/>
      <w:r w:rsidRPr="008C5B21">
        <w:t xml:space="preserve"> propose une approche globale de la sécurité informatique, incluant la protection des infrastructures, la sécurisation des données et la formation des utilisateurs.</w:t>
      </w:r>
    </w:p>
    <w:p w:rsidR="008C5B21" w:rsidRPr="008C5B21" w:rsidRDefault="008C5B21" w:rsidP="008C5B21">
      <w:r w:rsidRPr="008C5B21">
        <w:t>Nos solutions couvrent la détection et la prévention des intrusions, la protection contre les malwares, la sécurisation des communications et la sauvegarde des données critiques. Un service de veille et d'intervention 24h/24 complète cette offre.</w:t>
      </w:r>
    </w:p>
    <w:p w:rsidR="008C5B21" w:rsidRPr="008C5B21" w:rsidRDefault="008C5B21" w:rsidP="008C5B21">
      <w:r w:rsidRPr="008C5B21">
        <w:t xml:space="preserve">L'évolution constante de la réglementation en matière de protection des données nécessite un accompagnement spécialisé. Notre service </w:t>
      </w:r>
      <w:proofErr w:type="spellStart"/>
      <w:r w:rsidRPr="008C5B21">
        <w:t>ComplianceXpert</w:t>
      </w:r>
      <w:proofErr w:type="spellEnd"/>
      <w:r w:rsidRPr="008C5B21">
        <w:t xml:space="preserve"> aide les entreprises à respecter les exigences du RGPD, de la directive NIS2 et des autres réglementations sectorielles.</w:t>
      </w:r>
    </w:p>
    <w:p w:rsidR="008C5B21" w:rsidRPr="008C5B21" w:rsidRDefault="008C5B21" w:rsidP="008C5B21">
      <w:r w:rsidRPr="008C5B21">
        <w:t xml:space="preserve">La sensibilisation des collaborateurs représente un maillon essentiel de la cybersécurité. Notre programme de formation </w:t>
      </w:r>
      <w:proofErr w:type="spellStart"/>
      <w:r w:rsidRPr="008C5B21">
        <w:t>CyberAware</w:t>
      </w:r>
      <w:proofErr w:type="spellEnd"/>
      <w:r w:rsidRPr="008C5B21">
        <w:t xml:space="preserve"> propose des modules interactifs adaptés à différents profils d'utilisateurs. Plus de 5 000 collaborateurs ont bénéficié de nos formations en 2024.</w:t>
      </w:r>
    </w:p>
    <w:p w:rsidR="008C5B21" w:rsidRPr="008C5B21" w:rsidRDefault="008C5B21" w:rsidP="008C5B21">
      <w:r w:rsidRPr="008C5B21">
        <w:rPr>
          <w:b/>
          <w:bCs/>
        </w:rPr>
        <w:t>Performance économique et financière</w:t>
      </w:r>
    </w:p>
    <w:p w:rsidR="008C5B21" w:rsidRPr="008C5B21" w:rsidRDefault="008C5B21" w:rsidP="008C5B21">
      <w:r w:rsidRPr="008C5B21">
        <w:rPr>
          <w:i/>
          <w:iCs/>
          <w:color w:val="0B769F" w:themeColor="accent4" w:themeShade="BF"/>
        </w:rPr>
        <w:t>Chiffre d'affaires et rentabilité</w:t>
      </w:r>
    </w:p>
    <w:p w:rsidR="008C5B21" w:rsidRPr="008C5B21" w:rsidRDefault="008C5B21" w:rsidP="008C5B21">
      <w:r w:rsidRPr="008C5B21">
        <w:t>L'exercice 2024 confirme la dynamique de croissance soutenue de TechNovation Solutions. Notre chiffre d'affaires atteint 52,3 millions d'euros, soit une progression de 28% par rapport à 2023. Cette performance exceptionnelle résulte de la combinaison de plusieurs facteurs : l'élargissement de notre offre, la conquête de nouveaux marchés et la fidélisation renforcée de notre clientèle existante.</w:t>
      </w:r>
    </w:p>
    <w:p w:rsidR="008C5B21" w:rsidRPr="008C5B21" w:rsidRDefault="008C5B21" w:rsidP="008C5B21">
      <w:r w:rsidRPr="008C5B21">
        <w:t>La répartition par activité illustre la diversification réussie de nos sources de revenus. Les solutions de gestion d'entreprise représentent 58% du chiffre d'affaires avec 30,3 millions d'euros, mais leur poids relatif diminue au profit des activités à plus forte valeur ajoutée. L'intelligence artificielle génère désormais 15,7 millions d'euros (30% du total), tandis que la cybersécurité contribue à hauteur de 6,3 millions d'euros (12%).</w:t>
      </w:r>
    </w:p>
    <w:p w:rsidR="008C5B21" w:rsidRPr="008C5B21" w:rsidRDefault="008C5B21" w:rsidP="008C5B21">
      <w:r w:rsidRPr="008C5B21">
        <w:t>Notre résultat d'exploitation s'établit à 8,9 millions d'euros, représentant une marge opérationnelle de 17%, stable par rapport à l'année précédente malgré nos investissements massifs en recherche et développement. Le résultat net atteint 6,2 millions d'euros, soit une progression de 35% par rapport à 2023.</w:t>
      </w:r>
    </w:p>
    <w:p w:rsidR="008C5B21" w:rsidRPr="008C5B21" w:rsidRDefault="008C5B21" w:rsidP="008C5B21">
      <w:r w:rsidRPr="008C5B21">
        <w:rPr>
          <w:i/>
          <w:iCs/>
          <w:color w:val="0B769F" w:themeColor="accent4" w:themeShade="BF"/>
        </w:rPr>
        <w:t>Structure financière</w:t>
      </w:r>
    </w:p>
    <w:p w:rsidR="008C5B21" w:rsidRPr="008C5B21" w:rsidRDefault="008C5B21" w:rsidP="008C5B21">
      <w:r w:rsidRPr="008C5B21">
        <w:t>Le total de notre bilan s'élève à 38,7 millions d'euros au 31 décembre 2024, en croissance de 18% sur l'année. Nos capitaux propres s'établissent à 28,4 millions d'euros, représentant 73% du total du bilan. Cette structure financière solide nous confère une grande autonomie décisionnelle.</w:t>
      </w:r>
    </w:p>
    <w:p w:rsidR="008C5B21" w:rsidRPr="008C5B21" w:rsidRDefault="008C5B21" w:rsidP="008C5B21">
      <w:r w:rsidRPr="008C5B21">
        <w:t>L'endettement financier net reste modéré à 3,2 millions d'euros, soit 6,1% du chiffre d'affaires. Notre capacité d'autofinancement de 9,6 millions d'euros couvre largement nos besoins d'investissement courants.</w:t>
      </w:r>
    </w:p>
    <w:p w:rsidR="008C5B21" w:rsidRPr="008C5B21" w:rsidRDefault="008C5B21" w:rsidP="008C5B21">
      <w:r w:rsidRPr="008C5B21">
        <w:rPr>
          <w:i/>
          <w:iCs/>
          <w:color w:val="0B769F" w:themeColor="accent4" w:themeShade="BF"/>
        </w:rPr>
        <w:t>Indicateurs de performance par activité</w:t>
      </w:r>
    </w:p>
    <w:p w:rsidR="008C5B21" w:rsidRPr="008C5B21" w:rsidRDefault="008C5B21" w:rsidP="008C5B21">
      <w:r w:rsidRPr="008C5B21">
        <w:rPr>
          <w:u w:val="single"/>
        </w:rPr>
        <w:t>Tableau de bord des activités 2024</w:t>
      </w:r>
    </w:p>
    <w:tbl>
      <w:tblPr>
        <w:tblStyle w:val="Grilledetableauclaire"/>
        <w:tblW w:w="0" w:type="auto"/>
        <w:tblLook w:val="04A0" w:firstRow="1" w:lastRow="0" w:firstColumn="1" w:lastColumn="0" w:noHBand="0" w:noVBand="1"/>
      </w:tblPr>
      <w:tblGrid>
        <w:gridCol w:w="1633"/>
        <w:gridCol w:w="867"/>
        <w:gridCol w:w="867"/>
        <w:gridCol w:w="1076"/>
        <w:gridCol w:w="947"/>
        <w:gridCol w:w="1128"/>
        <w:gridCol w:w="1282"/>
        <w:gridCol w:w="1260"/>
      </w:tblGrid>
      <w:tr w:rsidR="008C5B21" w:rsidRPr="008C5B21" w:rsidTr="002537F4">
        <w:tc>
          <w:tcPr>
            <w:tcW w:w="0" w:type="auto"/>
            <w:hideMark/>
          </w:tcPr>
          <w:p w:rsidR="008C5B21" w:rsidRPr="008C5B21" w:rsidRDefault="008C5B21" w:rsidP="008C5B21">
            <w:pPr>
              <w:spacing w:after="120" w:line="276" w:lineRule="auto"/>
              <w:rPr>
                <w:b/>
                <w:bCs/>
              </w:rPr>
            </w:pPr>
            <w:r w:rsidRPr="008C5B21">
              <w:rPr>
                <w:b/>
                <w:bCs/>
              </w:rPr>
              <w:t>Activité</w:t>
            </w:r>
          </w:p>
        </w:tc>
        <w:tc>
          <w:tcPr>
            <w:tcW w:w="0" w:type="auto"/>
            <w:hideMark/>
          </w:tcPr>
          <w:p w:rsidR="008C5B21" w:rsidRPr="008C5B21" w:rsidRDefault="008C5B21" w:rsidP="008C5B21">
            <w:pPr>
              <w:spacing w:after="120" w:line="276" w:lineRule="auto"/>
              <w:rPr>
                <w:b/>
                <w:bCs/>
              </w:rPr>
            </w:pPr>
            <w:r w:rsidRPr="008C5B21">
              <w:rPr>
                <w:b/>
                <w:bCs/>
              </w:rPr>
              <w:t>CA 2024 (M€)</w:t>
            </w:r>
          </w:p>
        </w:tc>
        <w:tc>
          <w:tcPr>
            <w:tcW w:w="0" w:type="auto"/>
            <w:hideMark/>
          </w:tcPr>
          <w:p w:rsidR="008C5B21" w:rsidRPr="008C5B21" w:rsidRDefault="008C5B21" w:rsidP="008C5B21">
            <w:pPr>
              <w:spacing w:after="120" w:line="276" w:lineRule="auto"/>
              <w:rPr>
                <w:b/>
                <w:bCs/>
              </w:rPr>
            </w:pPr>
            <w:r w:rsidRPr="008C5B21">
              <w:rPr>
                <w:b/>
                <w:bCs/>
              </w:rPr>
              <w:t>CA 2023 (M€)</w:t>
            </w:r>
          </w:p>
        </w:tc>
        <w:tc>
          <w:tcPr>
            <w:tcW w:w="0" w:type="auto"/>
            <w:hideMark/>
          </w:tcPr>
          <w:p w:rsidR="008C5B21" w:rsidRPr="008C5B21" w:rsidRDefault="008C5B21" w:rsidP="008C5B21">
            <w:pPr>
              <w:spacing w:after="120" w:line="276" w:lineRule="auto"/>
              <w:rPr>
                <w:b/>
                <w:bCs/>
              </w:rPr>
            </w:pPr>
            <w:r w:rsidRPr="008C5B21">
              <w:rPr>
                <w:b/>
                <w:bCs/>
              </w:rPr>
              <w:t>Évolution</w:t>
            </w:r>
          </w:p>
        </w:tc>
        <w:tc>
          <w:tcPr>
            <w:tcW w:w="0" w:type="auto"/>
            <w:hideMark/>
          </w:tcPr>
          <w:p w:rsidR="008C5B21" w:rsidRPr="008C5B21" w:rsidRDefault="008C5B21" w:rsidP="008C5B21">
            <w:pPr>
              <w:spacing w:after="120" w:line="276" w:lineRule="auto"/>
              <w:rPr>
                <w:b/>
                <w:bCs/>
              </w:rPr>
            </w:pPr>
            <w:r w:rsidRPr="008C5B21">
              <w:rPr>
                <w:b/>
                <w:bCs/>
              </w:rPr>
              <w:t>Marge brute</w:t>
            </w:r>
          </w:p>
        </w:tc>
        <w:tc>
          <w:tcPr>
            <w:tcW w:w="0" w:type="auto"/>
            <w:hideMark/>
          </w:tcPr>
          <w:p w:rsidR="008C5B21" w:rsidRPr="008C5B21" w:rsidRDefault="008C5B21" w:rsidP="008C5B21">
            <w:pPr>
              <w:spacing w:after="120" w:line="276" w:lineRule="auto"/>
              <w:rPr>
                <w:b/>
                <w:bCs/>
              </w:rPr>
            </w:pPr>
            <w:r w:rsidRPr="008C5B21">
              <w:rPr>
                <w:b/>
                <w:bCs/>
              </w:rPr>
              <w:t>Nombre clients</w:t>
            </w:r>
          </w:p>
        </w:tc>
        <w:tc>
          <w:tcPr>
            <w:tcW w:w="0" w:type="auto"/>
            <w:hideMark/>
          </w:tcPr>
          <w:p w:rsidR="008C5B21" w:rsidRPr="008C5B21" w:rsidRDefault="008C5B21" w:rsidP="008C5B21">
            <w:pPr>
              <w:spacing w:after="120" w:line="276" w:lineRule="auto"/>
              <w:rPr>
                <w:b/>
                <w:bCs/>
              </w:rPr>
            </w:pPr>
            <w:r w:rsidRPr="008C5B21">
              <w:rPr>
                <w:b/>
                <w:bCs/>
              </w:rPr>
              <w:t>Clients nouveaux</w:t>
            </w:r>
          </w:p>
        </w:tc>
        <w:tc>
          <w:tcPr>
            <w:tcW w:w="0" w:type="auto"/>
            <w:hideMark/>
          </w:tcPr>
          <w:p w:rsidR="008C5B21" w:rsidRPr="008C5B21" w:rsidRDefault="008C5B21" w:rsidP="008C5B21">
            <w:pPr>
              <w:spacing w:after="120" w:line="276" w:lineRule="auto"/>
              <w:rPr>
                <w:b/>
                <w:bCs/>
              </w:rPr>
            </w:pPr>
            <w:r w:rsidRPr="008C5B21">
              <w:rPr>
                <w:b/>
                <w:bCs/>
              </w:rPr>
              <w:t>Taux de rétention</w:t>
            </w:r>
          </w:p>
        </w:tc>
      </w:tr>
      <w:tr w:rsidR="008C5B21" w:rsidRPr="008C5B21" w:rsidTr="002537F4">
        <w:tc>
          <w:tcPr>
            <w:tcW w:w="0" w:type="auto"/>
            <w:hideMark/>
          </w:tcPr>
          <w:p w:rsidR="008C5B21" w:rsidRPr="008C5B21" w:rsidRDefault="008C5B21" w:rsidP="008C5B21">
            <w:pPr>
              <w:spacing w:after="120" w:line="276" w:lineRule="auto"/>
            </w:pPr>
            <w:r w:rsidRPr="008C5B21">
              <w:lastRenderedPageBreak/>
              <w:t>Gestion d'entreprise</w:t>
            </w:r>
          </w:p>
        </w:tc>
        <w:tc>
          <w:tcPr>
            <w:tcW w:w="0" w:type="auto"/>
            <w:hideMark/>
          </w:tcPr>
          <w:p w:rsidR="008C5B21" w:rsidRPr="008C5B21" w:rsidRDefault="008C5B21" w:rsidP="008C5B21">
            <w:pPr>
              <w:spacing w:after="120" w:line="276" w:lineRule="auto"/>
            </w:pPr>
            <w:r w:rsidRPr="008C5B21">
              <w:t>30,3</w:t>
            </w:r>
          </w:p>
        </w:tc>
        <w:tc>
          <w:tcPr>
            <w:tcW w:w="0" w:type="auto"/>
            <w:hideMark/>
          </w:tcPr>
          <w:p w:rsidR="008C5B21" w:rsidRPr="008C5B21" w:rsidRDefault="008C5B21" w:rsidP="008C5B21">
            <w:pPr>
              <w:spacing w:after="120" w:line="276" w:lineRule="auto"/>
            </w:pPr>
            <w:r w:rsidRPr="008C5B21">
              <w:t>26,8</w:t>
            </w:r>
          </w:p>
        </w:tc>
        <w:tc>
          <w:tcPr>
            <w:tcW w:w="0" w:type="auto"/>
            <w:hideMark/>
          </w:tcPr>
          <w:p w:rsidR="008C5B21" w:rsidRPr="008C5B21" w:rsidRDefault="008C5B21" w:rsidP="008C5B21">
            <w:pPr>
              <w:spacing w:after="120" w:line="276" w:lineRule="auto"/>
            </w:pPr>
            <w:r w:rsidRPr="008C5B21">
              <w:t>+13%</w:t>
            </w:r>
          </w:p>
        </w:tc>
        <w:tc>
          <w:tcPr>
            <w:tcW w:w="0" w:type="auto"/>
            <w:hideMark/>
          </w:tcPr>
          <w:p w:rsidR="008C5B21" w:rsidRPr="008C5B21" w:rsidRDefault="008C5B21" w:rsidP="008C5B21">
            <w:pPr>
              <w:spacing w:after="120" w:line="276" w:lineRule="auto"/>
            </w:pPr>
            <w:r w:rsidRPr="008C5B21">
              <w:t>72%</w:t>
            </w:r>
          </w:p>
        </w:tc>
        <w:tc>
          <w:tcPr>
            <w:tcW w:w="0" w:type="auto"/>
            <w:hideMark/>
          </w:tcPr>
          <w:p w:rsidR="008C5B21" w:rsidRPr="008C5B21" w:rsidRDefault="008C5B21" w:rsidP="008C5B21">
            <w:pPr>
              <w:spacing w:after="120" w:line="276" w:lineRule="auto"/>
            </w:pPr>
            <w:r w:rsidRPr="008C5B21">
              <w:t>800</w:t>
            </w:r>
          </w:p>
        </w:tc>
        <w:tc>
          <w:tcPr>
            <w:tcW w:w="0" w:type="auto"/>
            <w:hideMark/>
          </w:tcPr>
          <w:p w:rsidR="008C5B21" w:rsidRPr="008C5B21" w:rsidRDefault="008C5B21" w:rsidP="008C5B21">
            <w:pPr>
              <w:spacing w:after="120" w:line="276" w:lineRule="auto"/>
            </w:pPr>
            <w:r w:rsidRPr="008C5B21">
              <w:t>120</w:t>
            </w:r>
          </w:p>
        </w:tc>
        <w:tc>
          <w:tcPr>
            <w:tcW w:w="0" w:type="auto"/>
            <w:hideMark/>
          </w:tcPr>
          <w:p w:rsidR="008C5B21" w:rsidRPr="008C5B21" w:rsidRDefault="008C5B21" w:rsidP="008C5B21">
            <w:pPr>
              <w:spacing w:after="120" w:line="276" w:lineRule="auto"/>
            </w:pPr>
            <w:r w:rsidRPr="008C5B21">
              <w:t>97%</w:t>
            </w:r>
          </w:p>
        </w:tc>
      </w:tr>
      <w:tr w:rsidR="008C5B21" w:rsidRPr="008C5B21" w:rsidTr="002537F4">
        <w:tc>
          <w:tcPr>
            <w:tcW w:w="0" w:type="auto"/>
            <w:hideMark/>
          </w:tcPr>
          <w:p w:rsidR="008C5B21" w:rsidRPr="008C5B21" w:rsidRDefault="008C5B21" w:rsidP="008C5B21">
            <w:pPr>
              <w:spacing w:after="120" w:line="276" w:lineRule="auto"/>
            </w:pPr>
            <w:r w:rsidRPr="008C5B21">
              <w:t>Intelligence artificielle</w:t>
            </w:r>
          </w:p>
        </w:tc>
        <w:tc>
          <w:tcPr>
            <w:tcW w:w="0" w:type="auto"/>
            <w:hideMark/>
          </w:tcPr>
          <w:p w:rsidR="008C5B21" w:rsidRPr="008C5B21" w:rsidRDefault="008C5B21" w:rsidP="008C5B21">
            <w:pPr>
              <w:spacing w:after="120" w:line="276" w:lineRule="auto"/>
            </w:pPr>
            <w:r w:rsidRPr="008C5B21">
              <w:t>15,7</w:t>
            </w:r>
          </w:p>
        </w:tc>
        <w:tc>
          <w:tcPr>
            <w:tcW w:w="0" w:type="auto"/>
            <w:hideMark/>
          </w:tcPr>
          <w:p w:rsidR="008C5B21" w:rsidRPr="008C5B21" w:rsidRDefault="008C5B21" w:rsidP="008C5B21">
            <w:pPr>
              <w:spacing w:after="120" w:line="276" w:lineRule="auto"/>
            </w:pPr>
            <w:r w:rsidRPr="008C5B21">
              <w:t>9,2</w:t>
            </w:r>
          </w:p>
        </w:tc>
        <w:tc>
          <w:tcPr>
            <w:tcW w:w="0" w:type="auto"/>
            <w:hideMark/>
          </w:tcPr>
          <w:p w:rsidR="008C5B21" w:rsidRPr="008C5B21" w:rsidRDefault="008C5B21" w:rsidP="008C5B21">
            <w:pPr>
              <w:spacing w:after="120" w:line="276" w:lineRule="auto"/>
            </w:pPr>
            <w:r w:rsidRPr="008C5B21">
              <w:t>+71%</w:t>
            </w:r>
          </w:p>
        </w:tc>
        <w:tc>
          <w:tcPr>
            <w:tcW w:w="0" w:type="auto"/>
            <w:hideMark/>
          </w:tcPr>
          <w:p w:rsidR="008C5B21" w:rsidRPr="008C5B21" w:rsidRDefault="008C5B21" w:rsidP="008C5B21">
            <w:pPr>
              <w:spacing w:after="120" w:line="276" w:lineRule="auto"/>
            </w:pPr>
            <w:r w:rsidRPr="008C5B21">
              <w:t>68%</w:t>
            </w:r>
          </w:p>
        </w:tc>
        <w:tc>
          <w:tcPr>
            <w:tcW w:w="0" w:type="auto"/>
            <w:hideMark/>
          </w:tcPr>
          <w:p w:rsidR="008C5B21" w:rsidRPr="008C5B21" w:rsidRDefault="008C5B21" w:rsidP="008C5B21">
            <w:pPr>
              <w:spacing w:after="120" w:line="276" w:lineRule="auto"/>
            </w:pPr>
            <w:r w:rsidRPr="008C5B21">
              <w:t>180</w:t>
            </w:r>
          </w:p>
        </w:tc>
        <w:tc>
          <w:tcPr>
            <w:tcW w:w="0" w:type="auto"/>
            <w:hideMark/>
          </w:tcPr>
          <w:p w:rsidR="008C5B21" w:rsidRPr="008C5B21" w:rsidRDefault="008C5B21" w:rsidP="008C5B21">
            <w:pPr>
              <w:spacing w:after="120" w:line="276" w:lineRule="auto"/>
            </w:pPr>
            <w:r w:rsidRPr="008C5B21">
              <w:t>95</w:t>
            </w:r>
          </w:p>
        </w:tc>
        <w:tc>
          <w:tcPr>
            <w:tcW w:w="0" w:type="auto"/>
            <w:hideMark/>
          </w:tcPr>
          <w:p w:rsidR="008C5B21" w:rsidRPr="008C5B21" w:rsidRDefault="008C5B21" w:rsidP="008C5B21">
            <w:pPr>
              <w:spacing w:after="120" w:line="276" w:lineRule="auto"/>
            </w:pPr>
            <w:r w:rsidRPr="008C5B21">
              <w:t>94%</w:t>
            </w:r>
          </w:p>
        </w:tc>
      </w:tr>
      <w:tr w:rsidR="008C5B21" w:rsidRPr="008C5B21" w:rsidTr="002537F4">
        <w:tc>
          <w:tcPr>
            <w:tcW w:w="0" w:type="auto"/>
            <w:hideMark/>
          </w:tcPr>
          <w:p w:rsidR="008C5B21" w:rsidRPr="008C5B21" w:rsidRDefault="008C5B21" w:rsidP="008C5B21">
            <w:pPr>
              <w:spacing w:after="120" w:line="276" w:lineRule="auto"/>
            </w:pPr>
            <w:r w:rsidRPr="008C5B21">
              <w:t>Cybersécurité</w:t>
            </w:r>
          </w:p>
        </w:tc>
        <w:tc>
          <w:tcPr>
            <w:tcW w:w="0" w:type="auto"/>
            <w:hideMark/>
          </w:tcPr>
          <w:p w:rsidR="008C5B21" w:rsidRPr="008C5B21" w:rsidRDefault="008C5B21" w:rsidP="008C5B21">
            <w:pPr>
              <w:spacing w:after="120" w:line="276" w:lineRule="auto"/>
            </w:pPr>
            <w:r w:rsidRPr="008C5B21">
              <w:t>6,3</w:t>
            </w:r>
          </w:p>
        </w:tc>
        <w:tc>
          <w:tcPr>
            <w:tcW w:w="0" w:type="auto"/>
            <w:hideMark/>
          </w:tcPr>
          <w:p w:rsidR="008C5B21" w:rsidRPr="008C5B21" w:rsidRDefault="008C5B21" w:rsidP="008C5B21">
            <w:pPr>
              <w:spacing w:after="120" w:line="276" w:lineRule="auto"/>
            </w:pPr>
            <w:r w:rsidRPr="008C5B21">
              <w:t>4,8</w:t>
            </w:r>
          </w:p>
        </w:tc>
        <w:tc>
          <w:tcPr>
            <w:tcW w:w="0" w:type="auto"/>
            <w:hideMark/>
          </w:tcPr>
          <w:p w:rsidR="008C5B21" w:rsidRPr="008C5B21" w:rsidRDefault="008C5B21" w:rsidP="008C5B21">
            <w:pPr>
              <w:spacing w:after="120" w:line="276" w:lineRule="auto"/>
            </w:pPr>
            <w:r w:rsidRPr="008C5B21">
              <w:t>+31%</w:t>
            </w:r>
          </w:p>
        </w:tc>
        <w:tc>
          <w:tcPr>
            <w:tcW w:w="0" w:type="auto"/>
            <w:hideMark/>
          </w:tcPr>
          <w:p w:rsidR="008C5B21" w:rsidRPr="008C5B21" w:rsidRDefault="008C5B21" w:rsidP="008C5B21">
            <w:pPr>
              <w:spacing w:after="120" w:line="276" w:lineRule="auto"/>
            </w:pPr>
            <w:r w:rsidRPr="008C5B21">
              <w:t>65%</w:t>
            </w:r>
          </w:p>
        </w:tc>
        <w:tc>
          <w:tcPr>
            <w:tcW w:w="0" w:type="auto"/>
            <w:hideMark/>
          </w:tcPr>
          <w:p w:rsidR="008C5B21" w:rsidRPr="008C5B21" w:rsidRDefault="008C5B21" w:rsidP="008C5B21">
            <w:pPr>
              <w:spacing w:after="120" w:line="276" w:lineRule="auto"/>
            </w:pPr>
            <w:r w:rsidRPr="008C5B21">
              <w:t>350</w:t>
            </w:r>
          </w:p>
        </w:tc>
        <w:tc>
          <w:tcPr>
            <w:tcW w:w="0" w:type="auto"/>
            <w:hideMark/>
          </w:tcPr>
          <w:p w:rsidR="008C5B21" w:rsidRPr="008C5B21" w:rsidRDefault="008C5B21" w:rsidP="008C5B21">
            <w:pPr>
              <w:spacing w:after="120" w:line="276" w:lineRule="auto"/>
            </w:pPr>
            <w:r w:rsidRPr="008C5B21">
              <w:t>85</w:t>
            </w:r>
          </w:p>
        </w:tc>
        <w:tc>
          <w:tcPr>
            <w:tcW w:w="0" w:type="auto"/>
            <w:hideMark/>
          </w:tcPr>
          <w:p w:rsidR="008C5B21" w:rsidRPr="008C5B21" w:rsidRDefault="008C5B21" w:rsidP="008C5B21">
            <w:pPr>
              <w:spacing w:after="120" w:line="276" w:lineRule="auto"/>
            </w:pPr>
            <w:r w:rsidRPr="008C5B21">
              <w:t>96%</w:t>
            </w:r>
          </w:p>
        </w:tc>
      </w:tr>
      <w:tr w:rsidR="008C5B21" w:rsidRPr="008C5B21" w:rsidTr="002537F4">
        <w:tc>
          <w:tcPr>
            <w:tcW w:w="0" w:type="auto"/>
            <w:hideMark/>
          </w:tcPr>
          <w:p w:rsidR="008C5B21" w:rsidRPr="008C5B21" w:rsidRDefault="008C5B21" w:rsidP="008C5B21">
            <w:pPr>
              <w:spacing w:after="120" w:line="276" w:lineRule="auto"/>
            </w:pPr>
            <w:r w:rsidRPr="008C5B21">
              <w:rPr>
                <w:b/>
                <w:bCs/>
              </w:rPr>
              <w:t>TOTAL</w:t>
            </w:r>
          </w:p>
        </w:tc>
        <w:tc>
          <w:tcPr>
            <w:tcW w:w="0" w:type="auto"/>
            <w:hideMark/>
          </w:tcPr>
          <w:p w:rsidR="008C5B21" w:rsidRPr="008C5B21" w:rsidRDefault="008C5B21" w:rsidP="008C5B21">
            <w:pPr>
              <w:spacing w:after="120" w:line="276" w:lineRule="auto"/>
            </w:pPr>
            <w:r w:rsidRPr="008C5B21">
              <w:rPr>
                <w:b/>
                <w:bCs/>
              </w:rPr>
              <w:t>52,3</w:t>
            </w:r>
          </w:p>
        </w:tc>
        <w:tc>
          <w:tcPr>
            <w:tcW w:w="0" w:type="auto"/>
            <w:hideMark/>
          </w:tcPr>
          <w:p w:rsidR="008C5B21" w:rsidRPr="008C5B21" w:rsidRDefault="008C5B21" w:rsidP="008C5B21">
            <w:pPr>
              <w:spacing w:after="120" w:line="276" w:lineRule="auto"/>
            </w:pPr>
            <w:r w:rsidRPr="008C5B21">
              <w:rPr>
                <w:b/>
                <w:bCs/>
              </w:rPr>
              <w:t>40,8</w:t>
            </w:r>
          </w:p>
        </w:tc>
        <w:tc>
          <w:tcPr>
            <w:tcW w:w="0" w:type="auto"/>
            <w:hideMark/>
          </w:tcPr>
          <w:p w:rsidR="008C5B21" w:rsidRPr="008C5B21" w:rsidRDefault="008C5B21" w:rsidP="008C5B21">
            <w:pPr>
              <w:spacing w:after="120" w:line="276" w:lineRule="auto"/>
            </w:pPr>
            <w:r w:rsidRPr="008C5B21">
              <w:rPr>
                <w:b/>
                <w:bCs/>
              </w:rPr>
              <w:t>+28%</w:t>
            </w:r>
          </w:p>
        </w:tc>
        <w:tc>
          <w:tcPr>
            <w:tcW w:w="0" w:type="auto"/>
            <w:hideMark/>
          </w:tcPr>
          <w:p w:rsidR="008C5B21" w:rsidRPr="008C5B21" w:rsidRDefault="008C5B21" w:rsidP="008C5B21">
            <w:pPr>
              <w:spacing w:after="120" w:line="276" w:lineRule="auto"/>
            </w:pPr>
            <w:r w:rsidRPr="008C5B21">
              <w:rPr>
                <w:b/>
                <w:bCs/>
              </w:rPr>
              <w:t>70%</w:t>
            </w:r>
          </w:p>
        </w:tc>
        <w:tc>
          <w:tcPr>
            <w:tcW w:w="0" w:type="auto"/>
            <w:hideMark/>
          </w:tcPr>
          <w:p w:rsidR="008C5B21" w:rsidRPr="008C5B21" w:rsidRDefault="008C5B21" w:rsidP="008C5B21">
            <w:pPr>
              <w:spacing w:after="120" w:line="276" w:lineRule="auto"/>
            </w:pPr>
            <w:r w:rsidRPr="008C5B21">
              <w:rPr>
                <w:b/>
                <w:bCs/>
              </w:rPr>
              <w:t>1330</w:t>
            </w:r>
          </w:p>
        </w:tc>
        <w:tc>
          <w:tcPr>
            <w:tcW w:w="0" w:type="auto"/>
            <w:hideMark/>
          </w:tcPr>
          <w:p w:rsidR="008C5B21" w:rsidRPr="008C5B21" w:rsidRDefault="008C5B21" w:rsidP="008C5B21">
            <w:pPr>
              <w:spacing w:after="120" w:line="276" w:lineRule="auto"/>
            </w:pPr>
            <w:r w:rsidRPr="008C5B21">
              <w:rPr>
                <w:b/>
                <w:bCs/>
              </w:rPr>
              <w:t>300</w:t>
            </w:r>
          </w:p>
        </w:tc>
        <w:tc>
          <w:tcPr>
            <w:tcW w:w="0" w:type="auto"/>
            <w:hideMark/>
          </w:tcPr>
          <w:p w:rsidR="008C5B21" w:rsidRPr="008C5B21" w:rsidRDefault="008C5B21" w:rsidP="008C5B21">
            <w:pPr>
              <w:spacing w:after="120" w:line="276" w:lineRule="auto"/>
            </w:pPr>
            <w:r w:rsidRPr="008C5B21">
              <w:rPr>
                <w:b/>
                <w:bCs/>
              </w:rPr>
              <w:t>96%</w:t>
            </w:r>
          </w:p>
        </w:tc>
      </w:tr>
    </w:tbl>
    <w:p w:rsidR="008C5B21" w:rsidRPr="008C5B21" w:rsidRDefault="008C5B21" w:rsidP="008C5B21">
      <w:r w:rsidRPr="008C5B21">
        <w:t>Cette synthèse révèle la dynamique différenciée de nos métiers. L'intelligence artificielle affiche la croissance la plus spectaculaire avec 71%, confirmant la pertinence de nos investissements dans ce domaine stratégique.</w:t>
      </w:r>
    </w:p>
    <w:p w:rsidR="008C5B21" w:rsidRPr="008C5B21" w:rsidRDefault="008C5B21" w:rsidP="008C5B21">
      <w:r w:rsidRPr="008C5B21">
        <w:t>Les charges d'exploitation s'élèvent à 43,4 millions d'euros en 2024, soit 83% du chiffre d'affaires. Les charges de personnel représentent 28,7 millions d'euros (55% du chiffre d'affaires), reflétant nos investissements soutenus dans le capital humain.</w:t>
      </w:r>
    </w:p>
    <w:p w:rsidR="008C5B21" w:rsidRPr="008C5B21" w:rsidRDefault="008C5B21" w:rsidP="008C5B21">
      <w:r w:rsidRPr="008C5B21">
        <w:t>Nos investissements en R&amp;D s'élèvent à 9,4 millions d'euros, représentant 18% de notre chiffre d'affaires. Le crédit d'impôt recherche de 2,1 millions d'euros reconnu en 2024 valide la qualification innovante de nos travaux.</w:t>
      </w:r>
    </w:p>
    <w:p w:rsidR="008C5B21" w:rsidRPr="008C5B21" w:rsidRDefault="008C5B21" w:rsidP="008C5B21">
      <w:r w:rsidRPr="008C5B21">
        <w:rPr>
          <w:b/>
          <w:bCs/>
        </w:rPr>
        <w:t>Ressources humaines et capital humain</w:t>
      </w:r>
    </w:p>
    <w:p w:rsidR="008C5B21" w:rsidRPr="008C5B21" w:rsidRDefault="008C5B21" w:rsidP="008C5B21">
      <w:r w:rsidRPr="008C5B21">
        <w:rPr>
          <w:i/>
          <w:iCs/>
          <w:color w:val="0B769F" w:themeColor="accent4" w:themeShade="BF"/>
        </w:rPr>
        <w:t>Effectifs et organisation</w:t>
      </w:r>
    </w:p>
    <w:p w:rsidR="008C5B21" w:rsidRPr="008C5B21" w:rsidRDefault="008C5B21" w:rsidP="008C5B21">
      <w:r w:rsidRPr="008C5B21">
        <w:t>TechNovation Solutions emploie 450 collaborateurs au 31 décembre 2024, contre 365 un an auparavant. Cette croissance de 23% de nos effectifs accompagne le développement de notre activité et renforce nos capacités d'innovation et de service client.</w:t>
      </w:r>
    </w:p>
    <w:p w:rsidR="008C5B21" w:rsidRPr="008C5B21" w:rsidRDefault="008C5B21" w:rsidP="008C5B21">
      <w:r w:rsidRPr="008C5B21">
        <w:t>La répartition par fonction illustre la structure de notre organisation : 52% de l'effectif se consacre aux activités techniques (développement, intégration, support), 28% aux fonctions commerciales et marketing, et 20% aux fonctions support.</w:t>
      </w:r>
    </w:p>
    <w:p w:rsidR="008C5B21" w:rsidRPr="008C5B21" w:rsidRDefault="008C5B21" w:rsidP="008C5B21">
      <w:r w:rsidRPr="008C5B21">
        <w:t>La diversité constitue un atout majeur pour la créativité et la performance de nos équipes. Nos effectifs comptent 42% de femmes, une proportion en progression constante grâce à nos actions volontaristes. Notre programme "TechNovation Inclusion" vise à favoriser l'intégration de profils diversifiés et à lutter contre toute forme de discrimination.</w:t>
      </w:r>
    </w:p>
    <w:p w:rsidR="008C5B21" w:rsidRPr="008C5B21" w:rsidRDefault="008C5B21" w:rsidP="008C5B21">
      <w:r w:rsidRPr="008C5B21">
        <w:rPr>
          <w:i/>
          <w:iCs/>
          <w:color w:val="0B769F" w:themeColor="accent4" w:themeShade="BF"/>
        </w:rPr>
        <w:t>Formation et développement des compétences</w:t>
      </w:r>
    </w:p>
    <w:p w:rsidR="008C5B21" w:rsidRPr="008C5B21" w:rsidRDefault="008C5B21" w:rsidP="008C5B21">
      <w:r w:rsidRPr="008C5B21">
        <w:t>L'évolution rapide des technologies nécessite un effort constant de formation et d'adaptation des compétences. Notre budget formation représente 3,2% de la masse salariale, soit 920 000 euros en 2024.</w:t>
      </w:r>
    </w:p>
    <w:p w:rsidR="008C5B21" w:rsidRPr="008C5B21" w:rsidRDefault="008C5B21" w:rsidP="008C5B21">
      <w:r w:rsidRPr="008C5B21">
        <w:t>Chaque collaborateur bénéficie en moyenne de 28 heures de formation par an, réparties entre formations techniques spécialisées, développement des compétences managériales et sensibilisation aux enjeux transverses.</w:t>
      </w:r>
    </w:p>
    <w:p w:rsidR="008C5B21" w:rsidRPr="008C5B21" w:rsidRDefault="008C5B21" w:rsidP="008C5B21">
      <w:r w:rsidRPr="008C5B21">
        <w:t>Notre système de gestion des carrières s'appuie sur des entretiens annuels structurés et des comités carrières trimestriels. En 2024, 67 collaborateurs ont bénéficié d'une promotion interne. Un programme de mobilité internationale a été lancé pour accompagner notre expansion géographique.</w:t>
      </w:r>
    </w:p>
    <w:p w:rsidR="008C5B21" w:rsidRPr="008C5B21" w:rsidRDefault="008C5B21" w:rsidP="008C5B21">
      <w:r w:rsidRPr="008C5B21">
        <w:rPr>
          <w:i/>
          <w:iCs/>
          <w:color w:val="0B769F" w:themeColor="accent4" w:themeShade="BF"/>
        </w:rPr>
        <w:lastRenderedPageBreak/>
        <w:t>Climat social et bien-être</w:t>
      </w:r>
    </w:p>
    <w:p w:rsidR="008C5B21" w:rsidRPr="008C5B21" w:rsidRDefault="008C5B21" w:rsidP="008C5B21">
      <w:r w:rsidRPr="008C5B21">
        <w:t>L'amélioration continue des conditions de travail constitue une priorité managériale. Nos bureaux offrent des espaces de travail modernes et ergonomiques. Le télétravail fait désormais partie intégrante de notre organisation, avec 85% de nos collaborateurs pratiquant le travail hybride.</w:t>
      </w:r>
    </w:p>
    <w:p w:rsidR="008C5B21" w:rsidRPr="008C5B21" w:rsidRDefault="008C5B21" w:rsidP="008C5B21">
      <w:r w:rsidRPr="008C5B21">
        <w:t>Les relations sociales se caractérisent par un dialogue constructif avec les représentants du personnel. Deux accords d'entreprise ont été signés en 2024 : un accord sur l'égalité professionnelle et un accord sur la qualité de vie au travail. Le taux d'absentéisme reste faible à 2,8%.</w:t>
      </w:r>
    </w:p>
    <w:p w:rsidR="008C5B21" w:rsidRPr="008C5B21" w:rsidRDefault="008C5B21" w:rsidP="008C5B21">
      <w:pPr>
        <w:rPr>
          <w:b/>
          <w:bCs/>
        </w:rPr>
      </w:pPr>
      <w:r w:rsidRPr="008C5B21">
        <w:rPr>
          <w:b/>
          <w:bCs/>
        </w:rPr>
        <w:t>Innovation et recherche développement</w:t>
      </w:r>
    </w:p>
    <w:p w:rsidR="008C5B21" w:rsidRPr="008C5B21" w:rsidRDefault="008C5B21" w:rsidP="008C5B21">
      <w:pPr>
        <w:rPr>
          <w:i/>
          <w:iCs/>
          <w:color w:val="0B769F" w:themeColor="accent4" w:themeShade="BF"/>
        </w:rPr>
      </w:pPr>
      <w:r w:rsidRPr="008C5B21">
        <w:rPr>
          <w:i/>
          <w:iCs/>
          <w:color w:val="0B769F" w:themeColor="accent4" w:themeShade="BF"/>
        </w:rPr>
        <w:t>Stratégie d'innovation</w:t>
      </w:r>
    </w:p>
    <w:p w:rsidR="008C5B21" w:rsidRPr="008C5B21" w:rsidRDefault="008C5B21" w:rsidP="008C5B21">
      <w:r w:rsidRPr="008C5B21">
        <w:t>Notre stratégie d'innovation s'articule autour de trois axes prioritaires qui structurent nos investissements en recherche et développement.</w:t>
      </w:r>
    </w:p>
    <w:p w:rsidR="008C5B21" w:rsidRPr="008C5B21" w:rsidRDefault="008C5B21" w:rsidP="008C5B21">
      <w:pPr>
        <w:rPr>
          <w:u w:val="single"/>
        </w:rPr>
      </w:pPr>
      <w:r w:rsidRPr="008C5B21">
        <w:rPr>
          <w:u w:val="single"/>
        </w:rPr>
        <w:t>Axes prioritaires de recherche</w:t>
      </w:r>
    </w:p>
    <w:p w:rsidR="008C5B21" w:rsidRPr="008C5B21" w:rsidRDefault="008C5B21" w:rsidP="008C5B21">
      <w:r w:rsidRPr="008C5B21">
        <w:t>Intelligence artificielle appliquée aux processus métier Le premier axe concerne l'intelligence artificielle appliquée aux processus métier, domaine dans lequel nous développons des algorithmes propriétaires d'apprentissage automatique et de traitement du langage naturel.</w:t>
      </w:r>
    </w:p>
    <w:p w:rsidR="008C5B21" w:rsidRPr="008C5B21" w:rsidRDefault="008C5B21" w:rsidP="008C5B21">
      <w:r w:rsidRPr="008C5B21">
        <w:t>Informatique quantique pour l'optimisation Le deuxième axe porte sur l'informatique quantique appliquée à l'optimisation des processus logistiques et financiers. Bien que cette technologie soit encore émergente, nous investissons dès maintenant pour prendre une longueur d'avance.</w:t>
      </w:r>
    </w:p>
    <w:p w:rsidR="008C5B21" w:rsidRPr="008C5B21" w:rsidRDefault="008C5B21" w:rsidP="008C5B21">
      <w:r w:rsidRPr="008C5B21">
        <w:t>Interfaces homme-machine de nouvelle génération Le troisième axe concerne les interfaces homme-machine de nouvelle génération, incluant la réalité augmentée, la reconnaissance vocale avancée et les interfaces gestuelles.</w:t>
      </w:r>
    </w:p>
    <w:p w:rsidR="008C5B21" w:rsidRPr="008C5B21" w:rsidRDefault="008C5B21" w:rsidP="008C5B21">
      <w:r w:rsidRPr="008C5B21">
        <w:t>Notre capacité d'innovation s'appuie sur un écosystème de partenariats stratégiques avec des acteurs académiques et industriels de premier plan. Nous collaborons notamment avec l'INRIA dans le domaine de l'intelligence artificielle et avec le CEA pour l'informatique quantique.</w:t>
      </w:r>
    </w:p>
    <w:p w:rsidR="008C5B21" w:rsidRPr="008C5B21" w:rsidRDefault="008C5B21" w:rsidP="008C5B21">
      <w:r w:rsidRPr="008C5B21">
        <w:rPr>
          <w:i/>
          <w:iCs/>
          <w:color w:val="0B769F" w:themeColor="accent4" w:themeShade="BF"/>
        </w:rPr>
        <w:t>Réalisations 2024</w:t>
      </w:r>
    </w:p>
    <w:p w:rsidR="008C5B21" w:rsidRPr="008C5B21" w:rsidRDefault="008C5B21" w:rsidP="008C5B21">
      <w:r w:rsidRPr="008C5B21">
        <w:t xml:space="preserve">L'année 2024 a été particulièrement riche en innovations produits. Le lancement d'ERP </w:t>
      </w:r>
      <w:proofErr w:type="spellStart"/>
      <w:r w:rsidRPr="008C5B21">
        <w:t>Connect</w:t>
      </w:r>
      <w:proofErr w:type="spellEnd"/>
      <w:r w:rsidRPr="008C5B21">
        <w:t xml:space="preserve"> 5.0 constitue notre réalisation majeure, avec l'intégration native de fonctionnalités d'intelligence artificielle pour l'aide à la décision.</w:t>
      </w:r>
    </w:p>
    <w:p w:rsidR="008C5B21" w:rsidRPr="008C5B21" w:rsidRDefault="008C5B21" w:rsidP="008C5B21">
      <w:r w:rsidRPr="008C5B21">
        <w:t>TechNovation AI, notre plateforme d'intelligence artificielle, a été enrichie de nouveaux modules spécialisés : reconnaissance de documents, analyse prédictive des ventes, optimisation des stocks et détection de fraudes.</w:t>
      </w:r>
    </w:p>
    <w:p w:rsidR="008C5B21" w:rsidRPr="008C5B21" w:rsidRDefault="008C5B21" w:rsidP="008C5B21">
      <w:r w:rsidRPr="008C5B21">
        <w:t>Notre portefeuille de propriété intellectuelle s'est enrichi de 12 nouveaux brevets déposés en 2024, portant notre total à 47 brevets accordés ou en cours d'instruction. Deux accords de licence ont été conclus avec des partenaires technologiques, générant des revenus de 1,2 millions d'euros.</w:t>
      </w:r>
    </w:p>
    <w:p w:rsidR="008C5B21" w:rsidRPr="008C5B21" w:rsidRDefault="008C5B21" w:rsidP="008C5B21">
      <w:r w:rsidRPr="008C5B21">
        <w:rPr>
          <w:b/>
          <w:bCs/>
        </w:rPr>
        <w:t>Développement durable et responsabilité sociétale</w:t>
      </w:r>
    </w:p>
    <w:p w:rsidR="008C5B21" w:rsidRPr="008C5B21" w:rsidRDefault="008C5B21" w:rsidP="008C5B21">
      <w:r w:rsidRPr="008C5B21">
        <w:rPr>
          <w:i/>
          <w:iCs/>
          <w:color w:val="0B769F" w:themeColor="accent4" w:themeShade="BF"/>
        </w:rPr>
        <w:t>Stratégie environnementale</w:t>
      </w:r>
    </w:p>
    <w:p w:rsidR="008C5B21" w:rsidRPr="008C5B21" w:rsidRDefault="008C5B21" w:rsidP="008C5B21">
      <w:r w:rsidRPr="008C5B21">
        <w:lastRenderedPageBreak/>
        <w:t>TechNovation Solutions s'est engagée à atteindre la neutralité carbone de ses activités d'ici 2030. Notre bilan carbone 2024 établit nos émissions totales à 2 847 tonnes équivalent CO2, soit une réduction de 12% par rapport à 2023.</w:t>
      </w:r>
    </w:p>
    <w:p w:rsidR="008C5B21" w:rsidRPr="008C5B21" w:rsidRDefault="008C5B21" w:rsidP="008C5B21">
      <w:r w:rsidRPr="008C5B21">
        <w:t>Cette amélioration résulte principalement de la migration vers des hébergements cloud alimentés par des énergies renouvelables et de l'optimisation énergétique de nos bureaux. Un plan de réduction des émissions sur cinq ans prévoit une diminution de 50% de notre empreinte carbone absolue d'ici 2029.</w:t>
      </w:r>
    </w:p>
    <w:p w:rsidR="008C5B21" w:rsidRPr="008C5B21" w:rsidRDefault="008C5B21" w:rsidP="008C5B21">
      <w:r w:rsidRPr="008C5B21">
        <w:t>Notre démarche d'économie circulaire vise à minimiser les déchets générés par nos activités. La dématérialisation de nos processus administratifs et commerciaux contribue significativement à la réduction de notre consommation de papier, qui a diminué de 35% en 2024.</w:t>
      </w:r>
    </w:p>
    <w:p w:rsidR="008C5B21" w:rsidRPr="008C5B21" w:rsidRDefault="008C5B21" w:rsidP="008C5B21">
      <w:r w:rsidRPr="008C5B21">
        <w:rPr>
          <w:i/>
          <w:iCs/>
          <w:color w:val="0B769F" w:themeColor="accent4" w:themeShade="BF"/>
        </w:rPr>
        <w:t>Actions sociales et sociétales</w:t>
      </w:r>
    </w:p>
    <w:p w:rsidR="008C5B21" w:rsidRPr="008C5B21" w:rsidRDefault="008C5B21" w:rsidP="008C5B21">
      <w:r w:rsidRPr="008C5B21">
        <w:t>Notre programme "Tech for Good" mobilise nos compétences techniques au service de causes d'intérêt général. En 2024, nous avons accompagné bénévolement 15 associations dans leur transformation numérique, leur apportant des solutions techniques valorisées à 450 000 euros.</w:t>
      </w:r>
    </w:p>
    <w:p w:rsidR="008C5B21" w:rsidRPr="008C5B21" w:rsidRDefault="008C5B21" w:rsidP="008C5B21">
      <w:r w:rsidRPr="008C5B21">
        <w:t>Nos collaborateurs peuvent consacrer jusqu'à deux jours par an de leur temps de travail à ces missions solidaires. Un partenariat avec l'association "Simplon.co" nous permet de proposer des formations gratuites aux métiers du numérique pour des publics éloignés de l'emploi.</w:t>
      </w:r>
    </w:p>
    <w:p w:rsidR="008C5B21" w:rsidRPr="008C5B21" w:rsidRDefault="008C5B21" w:rsidP="008C5B21">
      <w:r w:rsidRPr="008C5B21">
        <w:t>Notre politique d'égalité professionnelle entre les femmes et les hommes fait l'objet d'un suivi rigoureux. L'index égalité professionnelle s'établit à 89/100 en 2024. Les écarts salariaux entre femmes et hommes ont été réduits de 15% sur l'année.</w:t>
      </w:r>
    </w:p>
    <w:p w:rsidR="008C5B21" w:rsidRPr="008C5B21" w:rsidRDefault="008C5B21" w:rsidP="008C5B21">
      <w:r w:rsidRPr="008C5B21">
        <w:rPr>
          <w:b/>
          <w:bCs/>
        </w:rPr>
        <w:t>Performance commerciale et développement</w:t>
      </w:r>
    </w:p>
    <w:p w:rsidR="008C5B21" w:rsidRPr="008C5B21" w:rsidRDefault="008C5B21" w:rsidP="008C5B21">
      <w:r w:rsidRPr="008C5B21">
        <w:rPr>
          <w:i/>
          <w:iCs/>
          <w:color w:val="0B769F" w:themeColor="accent4" w:themeShade="BF"/>
        </w:rPr>
        <w:t>Analyse du marché</w:t>
      </w:r>
    </w:p>
    <w:p w:rsidR="008C5B21" w:rsidRPr="008C5B21" w:rsidRDefault="008C5B21" w:rsidP="008C5B21">
      <w:r w:rsidRPr="008C5B21">
        <w:t>Le marché français des solutions numériques pour les PME a connu une croissance soutenue de 15% en 2024, atteignant un volume total de 8,2 milliards d'euros. Le segment de l'intelligence artificielle affiche la croissance la plus spectaculaire avec +45%, confirmant l'engouement des entreprises pour ces technologies.</w:t>
      </w:r>
    </w:p>
    <w:p w:rsidR="008C5B21" w:rsidRPr="008C5B21" w:rsidRDefault="008C5B21" w:rsidP="008C5B21">
      <w:r w:rsidRPr="008C5B21">
        <w:t>TechNovation Solutions occupe la 4ème position du marché français des solutions de gestion pour PME, avec une part de marché de 6,4% en progression de 0,8 point sur l'année. Notre taux de satisfaction client de 94% témoigne de la pertinence de notre approche centrée sur la valeur ajoutée.</w:t>
      </w:r>
    </w:p>
    <w:p w:rsidR="008C5B21" w:rsidRPr="008C5B21" w:rsidRDefault="008C5B21" w:rsidP="008C5B21">
      <w:r w:rsidRPr="008C5B21">
        <w:rPr>
          <w:i/>
          <w:iCs/>
          <w:color w:val="0B769F" w:themeColor="accent4" w:themeShade="BF"/>
        </w:rPr>
        <w:t>Stratégie commerciale</w:t>
      </w:r>
    </w:p>
    <w:p w:rsidR="008C5B21" w:rsidRPr="008C5B21" w:rsidRDefault="008C5B21" w:rsidP="008C5B21">
      <w:r w:rsidRPr="008C5B21">
        <w:t>Notre stratégie commerciale s'appuie sur une segmentation fine de notre marché cible : PME en création, PME en croissance, et PME matures. Cette segmentation guide nos actions marketing et commerciales, avec des approches spécifiques pour chaque catégorie de clients.</w:t>
      </w:r>
    </w:p>
    <w:p w:rsidR="008C5B21" w:rsidRPr="008C5B21" w:rsidRDefault="008C5B21" w:rsidP="008C5B21">
      <w:r w:rsidRPr="008C5B21">
        <w:t>Notre réseau de distribution combine vente directe et partenariats avec des intégrateurs spécialisés. L'équipe commerciale directe, composée de 35 ingénieurs commerciaux, gère les comptes stratégiques. Un réseau de 120 partenaires certifiés assure la couverture géographique.</w:t>
      </w:r>
    </w:p>
    <w:p w:rsidR="008C5B21" w:rsidRPr="008C5B21" w:rsidRDefault="008C5B21" w:rsidP="008C5B21">
      <w:r w:rsidRPr="008C5B21">
        <w:rPr>
          <w:i/>
          <w:iCs/>
          <w:color w:val="0B769F" w:themeColor="accent4" w:themeShade="BF"/>
        </w:rPr>
        <w:t>Résultats commerciaux 2024</w:t>
      </w:r>
    </w:p>
    <w:p w:rsidR="008C5B21" w:rsidRPr="008C5B21" w:rsidRDefault="008C5B21" w:rsidP="008C5B21">
      <w:r w:rsidRPr="008C5B21">
        <w:lastRenderedPageBreak/>
        <w:t>L'équipe commerciale a réalisé une performance exceptionnelle en 2024, avec 300 nouveaux clients signés et un chiffre d'affaires par commercial de 1,5 millions d'euros en moyenne. Le taux de transformation des prospects qualifiés atteint 32%.</w:t>
      </w:r>
    </w:p>
    <w:p w:rsidR="008C5B21" w:rsidRPr="008C5B21" w:rsidRDefault="008C5B21" w:rsidP="008C5B21">
      <w:r w:rsidRPr="008C5B21">
        <w:t>Le panier moyen s'élève à 174 000 euros, en hausse de 18% sur l'année. Notre taux de rétention client de 96% témoigne de la qualité de nos solutions. Le revenu récurrent représente 68% de notre chiffre d'affaires total, assurant une base de revenus prévisibles.</w:t>
      </w:r>
    </w:p>
    <w:p w:rsidR="008C5B21" w:rsidRPr="008C5B21" w:rsidRDefault="008C5B21" w:rsidP="008C5B21">
      <w:r w:rsidRPr="008C5B21">
        <w:t xml:space="preserve">Notre stratégie de communication s'appuie sur une approche de </w:t>
      </w:r>
      <w:proofErr w:type="spellStart"/>
      <w:r w:rsidRPr="008C5B21">
        <w:t>thought</w:t>
      </w:r>
      <w:proofErr w:type="spellEnd"/>
      <w:r w:rsidRPr="008C5B21">
        <w:t xml:space="preserve"> leadership. Le blog </w:t>
      </w:r>
      <w:proofErr w:type="spellStart"/>
      <w:r w:rsidRPr="008C5B21">
        <w:t>corporate</w:t>
      </w:r>
      <w:proofErr w:type="spellEnd"/>
      <w:r w:rsidRPr="008C5B21">
        <w:t xml:space="preserve"> génère plus de 150 000 visiteurs uniques par mois. Nous avons participé à 18 salons majeurs en 2024 et organisé notre événement annuel "TechNovation </w:t>
      </w:r>
      <w:proofErr w:type="spellStart"/>
      <w:r w:rsidRPr="008C5B21">
        <w:t>Summit</w:t>
      </w:r>
      <w:proofErr w:type="spellEnd"/>
      <w:r w:rsidRPr="008C5B21">
        <w:t>" qui a rassemblé 800 participants.</w:t>
      </w:r>
    </w:p>
    <w:p w:rsidR="008C5B21" w:rsidRPr="008C5B21" w:rsidRDefault="008C5B21" w:rsidP="008C5B21">
      <w:r w:rsidRPr="008C5B21">
        <w:rPr>
          <w:b/>
          <w:bCs/>
        </w:rPr>
        <w:t>International et expansion géographique</w:t>
      </w:r>
    </w:p>
    <w:p w:rsidR="008C5B21" w:rsidRPr="008C5B21" w:rsidRDefault="008C5B21" w:rsidP="008C5B21">
      <w:r w:rsidRPr="008C5B21">
        <w:rPr>
          <w:i/>
          <w:iCs/>
          <w:color w:val="0B769F" w:themeColor="accent4" w:themeShade="BF"/>
        </w:rPr>
        <w:t>Stratégie d'internationalisation</w:t>
      </w:r>
    </w:p>
    <w:p w:rsidR="008C5B21" w:rsidRPr="008C5B21" w:rsidRDefault="008C5B21" w:rsidP="008C5B21">
      <w:r w:rsidRPr="008C5B21">
        <w:t>L'expansion internationale constitue un axe stratégique majeur. Notre analyse des marchés européens a identifié trois pays prioritaires : la Belgique, la Suisse et l'Allemagne, qui présentent des caractéristiques favorables à nos solutions.</w:t>
      </w:r>
    </w:p>
    <w:p w:rsidR="008C5B21" w:rsidRPr="008C5B21" w:rsidRDefault="008C5B21" w:rsidP="008C5B21">
      <w:r w:rsidRPr="008C5B21">
        <w:t>Le marché belge offre un potentiel de 15 000 PME cibles. La Suisse présente l'avantage d'un pouvoir d'achat élevé et d'une appétence forte pour l'innovation technologique. L'Allemagne représente le plus gros potentiel avec plus de 200 000 PME susceptibles d'adopter nos solutions.</w:t>
      </w:r>
    </w:p>
    <w:p w:rsidR="008C5B21" w:rsidRPr="008C5B21" w:rsidRDefault="008C5B21" w:rsidP="008C5B21">
      <w:r w:rsidRPr="008C5B21">
        <w:t>Notre stratégie privilégie une approche progressive et maîtrisée. La première phase, lancée fin 2024, consiste en l'ouverture d'un bureau commercial en Belgique avec une équipe de 3 personnes dédiées au développement de ce marché.</w:t>
      </w:r>
    </w:p>
    <w:p w:rsidR="008C5B21" w:rsidRPr="008C5B21" w:rsidRDefault="008C5B21" w:rsidP="008C5B21">
      <w:r w:rsidRPr="008C5B21">
        <w:rPr>
          <w:i/>
          <w:iCs/>
          <w:color w:val="0B769F" w:themeColor="accent4" w:themeShade="BF"/>
        </w:rPr>
        <w:t>Premiers résultats</w:t>
      </w:r>
    </w:p>
    <w:p w:rsidR="008C5B21" w:rsidRPr="008C5B21" w:rsidRDefault="008C5B21" w:rsidP="008C5B21">
      <w:r w:rsidRPr="008C5B21">
        <w:t>Le lancement commercial en Belgique a généré ses premiers succès avec la signature de 8 contrats représentant 1,2 millions d'euros de chiffre d'affaires. Ces premiers clients valident l'adéquation de notre offre au marché belge.</w:t>
      </w:r>
    </w:p>
    <w:p w:rsidR="008C5B21" w:rsidRPr="008C5B21" w:rsidRDefault="008C5B21" w:rsidP="008C5B21">
      <w:r w:rsidRPr="008C5B21">
        <w:t>La préparation de l'expansion suisse est en cours, avec le recrutement prévu d'un directeur commercial local au premier trimestre 2025. L'Allemagne fait l'objet d'une veille concurrentielle renforcée et d'une analyse des modèles de distribution les plus efficaces.</w:t>
      </w:r>
    </w:p>
    <w:p w:rsidR="008C5B21" w:rsidRPr="008C5B21" w:rsidRDefault="008C5B21" w:rsidP="008C5B21">
      <w:r w:rsidRPr="008C5B21">
        <w:t>L'expansion internationale ouvre des perspectives de croissance significatives, avec un potentiel de marché total de 2,5 milliards d'euros sur nos trois pays cibles. Cette diversification géographique contribuera à la réduction des risques liés à la concentration sur le marché français.</w:t>
      </w:r>
    </w:p>
    <w:p w:rsidR="008C5B21" w:rsidRPr="008C5B21" w:rsidRDefault="008C5B21" w:rsidP="008C5B21">
      <w:r w:rsidRPr="008C5B21">
        <w:rPr>
          <w:b/>
          <w:bCs/>
        </w:rPr>
        <w:t>Perspectives d'avenir et orientations stratégiques</w:t>
      </w:r>
    </w:p>
    <w:p w:rsidR="008C5B21" w:rsidRPr="008C5B21" w:rsidRDefault="008C5B21" w:rsidP="008C5B21">
      <w:r w:rsidRPr="008C5B21">
        <w:rPr>
          <w:i/>
          <w:iCs/>
          <w:color w:val="0B769F" w:themeColor="accent4" w:themeShade="BF"/>
        </w:rPr>
        <w:t>Vision 2030</w:t>
      </w:r>
    </w:p>
    <w:p w:rsidR="008C5B21" w:rsidRPr="008C5B21" w:rsidRDefault="008C5B21" w:rsidP="008C5B21">
      <w:r w:rsidRPr="008C5B21">
        <w:t>TechNovation Solutions ambitionne de devenir le leader européen des solutions numériques intelligentes pour les PME à l'horizon 2030. Nos objectifs quantitatifs visent un chiffre d'affaires de 200 millions d'euros, soit un quadruplement par rapport à 2024.</w:t>
      </w:r>
    </w:p>
    <w:p w:rsidR="008C5B21" w:rsidRPr="008C5B21" w:rsidRDefault="008C5B21" w:rsidP="008C5B21">
      <w:r w:rsidRPr="008C5B21">
        <w:t>Cette croissance s'appuiera sur l'expansion internationale (40% du CA), le développement de nouvelles solutions (30% du CA), et la croissance organique de nos activités actuelles (30% du CA). L'effectif devrait atteindre 1 200 collaborateurs avec une présence dans 8 pays européens.</w:t>
      </w:r>
    </w:p>
    <w:p w:rsidR="008C5B21" w:rsidRPr="008C5B21" w:rsidRDefault="008C5B21" w:rsidP="008C5B21">
      <w:r w:rsidRPr="008C5B21">
        <w:lastRenderedPageBreak/>
        <w:t>L'évolution vers un modèle économique centré sur les services et l'abonnement constitue une transformation majeure en cours. D'ici 2030, nous visons 80% de revenus récurrents contre 68% aujourd'hui, renforçant ainsi la prévisibilité de nos revenus.</w:t>
      </w:r>
    </w:p>
    <w:p w:rsidR="008C5B21" w:rsidRPr="008C5B21" w:rsidRDefault="008C5B21" w:rsidP="008C5B21">
      <w:r w:rsidRPr="008C5B21">
        <w:rPr>
          <w:i/>
          <w:iCs/>
          <w:color w:val="0B769F" w:themeColor="accent4" w:themeShade="BF"/>
        </w:rPr>
        <w:t>Investissements technologiques</w:t>
      </w:r>
    </w:p>
    <w:p w:rsidR="008C5B21" w:rsidRPr="008C5B21" w:rsidRDefault="008C5B21" w:rsidP="008C5B21">
      <w:r w:rsidRPr="008C5B21">
        <w:t>Notre roadmap d'innovation pour les cinq prochaines années s'articule autour de technologies émergentes à fort potentiel de transformation. L'informatique quantique appliquée à l'optimisation constituera un axe de développement prioritaire dès 2026.</w:t>
      </w:r>
    </w:p>
    <w:p w:rsidR="008C5B21" w:rsidRPr="008C5B21" w:rsidRDefault="008C5B21" w:rsidP="008C5B21">
      <w:r w:rsidRPr="008C5B21">
        <w:t>Les interfaces conversationnelles et la réalité augmentée révolutionneront l'expérience utilisateur de nos solutions. Un investissement de 15 millions d'euros sur trois ans est programmé pour développer des interfaces de nouvelle génération.</w:t>
      </w:r>
    </w:p>
    <w:p w:rsidR="008C5B21" w:rsidRPr="008C5B21" w:rsidRDefault="008C5B21" w:rsidP="008C5B21">
      <w:r w:rsidRPr="008C5B21">
        <w:t>Le développement de partenariats stratégiques avec les leaders technologiques mondiaux accélérera notre innovation. Des discussions sont en cours avec Microsoft, Google et Amazon pour intégrer leurs technologies d'intelligence artificielle dans nos solutions.</w:t>
      </w:r>
    </w:p>
    <w:p w:rsidR="008C5B21" w:rsidRPr="008C5B21" w:rsidRDefault="008C5B21" w:rsidP="008C5B21">
      <w:pPr>
        <w:rPr>
          <w:i/>
          <w:iCs/>
          <w:color w:val="0B769F" w:themeColor="accent4" w:themeShade="BF"/>
        </w:rPr>
      </w:pPr>
      <w:r w:rsidRPr="008C5B21">
        <w:rPr>
          <w:i/>
          <w:iCs/>
          <w:color w:val="0B769F" w:themeColor="accent4" w:themeShade="BF"/>
        </w:rPr>
        <w:t>Plan d'actions 2025</w:t>
      </w:r>
    </w:p>
    <w:p w:rsidR="008C5B21" w:rsidRPr="008C5B21" w:rsidRDefault="008C5B21" w:rsidP="008C5B21">
      <w:r w:rsidRPr="008C5B21">
        <w:t>L'année 2025 sera déterminante pour consolider nos acquis et préparer notre expansion future. Nos priorités opérationnelles s'articulent autour de quatre axes principaux.</w:t>
      </w:r>
    </w:p>
    <w:p w:rsidR="008C5B21" w:rsidRPr="008C5B21" w:rsidRDefault="008C5B21" w:rsidP="002537F4">
      <w:pPr>
        <w:rPr>
          <w:u w:val="single"/>
        </w:rPr>
      </w:pPr>
      <w:r w:rsidRPr="008C5B21">
        <w:rPr>
          <w:u w:val="single"/>
        </w:rPr>
        <w:t>Priorités opérationnelles</w:t>
      </w:r>
    </w:p>
    <w:p w:rsidR="008C5B21" w:rsidRPr="008C5B21" w:rsidRDefault="008C5B21" w:rsidP="008C5B21">
      <w:r w:rsidRPr="008C5B21">
        <w:t xml:space="preserve">Finalisation du déploiement d'ERP </w:t>
      </w:r>
      <w:proofErr w:type="spellStart"/>
      <w:r w:rsidRPr="008C5B21">
        <w:t>Connect</w:t>
      </w:r>
      <w:proofErr w:type="spellEnd"/>
      <w:r w:rsidRPr="008C5B21">
        <w:t xml:space="preserve"> 5.0 Le déploiement d'ERP </w:t>
      </w:r>
      <w:proofErr w:type="spellStart"/>
      <w:r w:rsidRPr="008C5B21">
        <w:t>Connect</w:t>
      </w:r>
      <w:proofErr w:type="spellEnd"/>
      <w:r w:rsidRPr="008C5B21">
        <w:t xml:space="preserve"> 5.0 chez l'ensemble de notre base clients constituera un enjeu majeur de satisfaction et de fidélisation. Un programme d'accompagnement spécifique sera mis en place pour faciliter la migration.</w:t>
      </w:r>
    </w:p>
    <w:p w:rsidR="008C5B21" w:rsidRPr="008C5B21" w:rsidRDefault="008C5B21" w:rsidP="008C5B21">
      <w:r w:rsidRPr="008C5B21">
        <w:t>Accélération du développement de TechNovation AI Le développement de TechNovation AI sera accéléré avec le recrutement de 15 nouveaux ingénieurs spécialisés et le lancement de trois nouveaux modules sectoriels. L'objectif est d'atteindre 50 millions d'euros de revenus sur cette activité d'ici 2027.</w:t>
      </w:r>
    </w:p>
    <w:p w:rsidR="008C5B21" w:rsidRPr="008C5B21" w:rsidRDefault="008C5B21" w:rsidP="008C5B21">
      <w:r w:rsidRPr="008C5B21">
        <w:t>Expansion internationale en Suisse L'expansion en Suisse représente une étape cruciale de notre internationalisation. Une équipe dédiée de 5 personnes sera constituée pour assurer le lancement commercial et le développement du marché helvétique.</w:t>
      </w:r>
    </w:p>
    <w:p w:rsidR="008C5B21" w:rsidRPr="008C5B21" w:rsidRDefault="008C5B21" w:rsidP="008C5B21">
      <w:r w:rsidRPr="008C5B21">
        <w:t>Renforcement organisationnel La croissance rapide nécessite une adaptation de notre organisation. Un programme de transformation organisationnelle sera lancé pour préparer l'entreprise aux défis de sa nouvelle dimension européenne.</w:t>
      </w:r>
    </w:p>
    <w:p w:rsidR="008C5B21" w:rsidRPr="008C5B21" w:rsidRDefault="008C5B21" w:rsidP="008C5B21">
      <w:r w:rsidRPr="008C5B21">
        <w:t>Un plan d'investissement de 18 millions d'euros est programmé pour 2025, réparti entre la R&amp;D (10 M€), l'expansion internationale (5 M€) et le renforcement des infrastructures (3 M€).</w:t>
      </w:r>
    </w:p>
    <w:p w:rsidR="008C5B21" w:rsidRPr="008C5B21" w:rsidRDefault="008C5B21" w:rsidP="008C5B21">
      <w:r w:rsidRPr="008C5B21">
        <w:t>Nous visons pour 2025 un chiffre d'affaires de 67 millions d'euros, soit une croissance de 28%. L'effectif atteindra 520 collaborateurs fin 2025, avec 70 nouveaux recrutements prévus.</w:t>
      </w:r>
    </w:p>
    <w:p w:rsidR="008C5B21" w:rsidRPr="008C5B21" w:rsidRDefault="008C5B21" w:rsidP="008C5B21">
      <w:r w:rsidRPr="008C5B21">
        <w:rPr>
          <w:b/>
          <w:bCs/>
        </w:rPr>
        <w:t>Conclusion</w:t>
      </w:r>
    </w:p>
    <w:p w:rsidR="008C5B21" w:rsidRPr="008C5B21" w:rsidRDefault="008C5B21" w:rsidP="008C5B21">
      <w:r w:rsidRPr="008C5B21">
        <w:t>L'année 2024 restera dans l'histoire de TechNovation Solutions comme une année de transformation réussie et de croissance exceptionnelle. Nos performances économiques remarquables, notre innovation technologique soutenue et notre expansion internationale naissante confirment la pertinence de notre stratégie et l'efficacité de notre exécution.</w:t>
      </w:r>
    </w:p>
    <w:p w:rsidR="008C5B21" w:rsidRPr="008C5B21" w:rsidRDefault="008C5B21" w:rsidP="008C5B21">
      <w:r w:rsidRPr="008C5B21">
        <w:lastRenderedPageBreak/>
        <w:t>Cette réussite collective est avant tout le fruit de l'engagement et du talent de nos 450 collaborateurs, qui portent quotidiennement nos valeurs d'innovation, d'excellence et de responsabilité. Leur professionnalisme et leur passion constituent notre principale force pour affronter les défis à venir.</w:t>
      </w:r>
    </w:p>
    <w:p w:rsidR="008C5B21" w:rsidRPr="008C5B21" w:rsidRDefault="008C5B21" w:rsidP="008C5B21">
      <w:r w:rsidRPr="008C5B21">
        <w:t>Les fondations solides établies en 2024 nous permettent d'aborder l'avenir avec confiance et ambition. Notre vision 2030, nos investissements technologiques et notre expansion internationale nous positionnent favorablement pour devenir le leader européen de la transformation numérique des PME.</w:t>
      </w:r>
    </w:p>
    <w:p w:rsidR="008C5B21" w:rsidRPr="008C5B21" w:rsidRDefault="008C5B21" w:rsidP="008C5B21">
      <w:r w:rsidRPr="008C5B21">
        <w:t>2025 s'annonce comme une année charnière qui confirmera notre trajectoire de croissance et consolidera notre position concurrentielle. Les défis sont nombreux mais nos atouts sont solides : une technologie différenciante, une équipe exceptionnelle, une stratégie claire et des moyens financiers préservés.</w:t>
      </w:r>
    </w:p>
    <w:p w:rsidR="008C5B21" w:rsidRPr="008C5B21" w:rsidRDefault="008C5B21" w:rsidP="008C5B21">
      <w:r w:rsidRPr="008C5B21">
        <w:t>Nous remercions chaleureusement tous ceux qui nous accompagnent dans cette aventure entrepreneuriale : nos clients qui nous font confiance, nos partenaires qui contribuent à notre succès, nos actionnaires qui soutiennent notre vision, et nos collaborateurs qui incarnent quotidiennement nos ambitions.</w:t>
      </w:r>
    </w:p>
    <w:p w:rsidR="008C5B21" w:rsidRPr="008C5B21" w:rsidRDefault="008C5B21" w:rsidP="008C5B21">
      <w:r w:rsidRPr="008C5B21">
        <w:t>L'avenir de TechNovation Solutions s'écrit aujourd'hui, avec la conviction que l'innovation technologique au service de l'humain reste le meilleur moyen de construire un monde plus efficient, plus durable et plus équitable.</w:t>
      </w:r>
    </w:p>
    <w:p w:rsidR="008C5B21" w:rsidRPr="008C5B21" w:rsidRDefault="008C5B21" w:rsidP="008C5B21">
      <w:r w:rsidRPr="008C5B21">
        <w:rPr>
          <w:b/>
          <w:bCs/>
        </w:rPr>
        <w:t>Annexes</w:t>
      </w:r>
    </w:p>
    <w:p w:rsidR="008C5B21" w:rsidRPr="008C5B21" w:rsidRDefault="008C5B21" w:rsidP="008C5B21">
      <w:r w:rsidRPr="008C5B21">
        <w:rPr>
          <w:i/>
          <w:iCs/>
          <w:color w:val="0B769F" w:themeColor="accent4" w:themeShade="BF"/>
        </w:rPr>
        <w:t>Informations légales</w:t>
      </w:r>
    </w:p>
    <w:p w:rsidR="008C5B21" w:rsidRPr="008C5B21" w:rsidRDefault="008C5B21" w:rsidP="008C5B21">
      <w:r w:rsidRPr="008C5B21">
        <w:t>Raison sociale : TechNovation Solutions SAS Capital social : 5 200 000 euros Siège social : 123 Avenue de l'Innovation, 92400 Courbevoie RCS Nanterre 789 123 456 SIRET : 789 123 456 00025 Code APE : 6201Z TVA intracommunautaire : FR 12 789 123 456 Commissaires aux comptes : Cabinet Audit &amp; Expertise</w:t>
      </w:r>
    </w:p>
    <w:p w:rsidR="008C5B21" w:rsidRPr="008C5B21" w:rsidRDefault="008C5B21" w:rsidP="008C5B21">
      <w:r w:rsidRPr="008C5B21">
        <w:rPr>
          <w:i/>
          <w:iCs/>
          <w:color w:val="0B769F" w:themeColor="accent4" w:themeShade="BF"/>
        </w:rPr>
        <w:t>Contacts</w:t>
      </w:r>
    </w:p>
    <w:p w:rsidR="008C5B21" w:rsidRPr="008C5B21" w:rsidRDefault="008C5B21" w:rsidP="008C5B21">
      <w:r w:rsidRPr="008C5B21">
        <w:t>Siège social : 123 Avenue de l'Innovation, 92400 Courbevoie - Téléphone : +33 1 47 89 12 34 E-mail : contact@technovation-solutions.fr - Site web : www.technovation-solutions.com</w:t>
      </w:r>
    </w:p>
    <w:p w:rsidR="008C5B21" w:rsidRPr="008C5B21" w:rsidRDefault="008C5B21" w:rsidP="008C5B21">
      <w:r w:rsidRPr="008C5B21">
        <w:t>Bureaux régionaux : Lyon, Toulouse, Lille Bureau international : Bruxelles (Belgique)</w:t>
      </w:r>
    </w:p>
    <w:p w:rsidR="008C5B21" w:rsidRPr="008C5B21" w:rsidRDefault="008C5B21" w:rsidP="008C5B21">
      <w:r w:rsidRPr="008C5B21">
        <w:t>Contacts dirigeants : Jean-Pierre Martineau (Direction Générale), Sophie Durand (Direction Commerciale), Marc Lefevre (Direction Technique), Thomas Bernard (Direction Financière)</w:t>
      </w:r>
    </w:p>
    <w:p w:rsidR="008C5B21" w:rsidRPr="008C5B21" w:rsidRDefault="008C5B21" w:rsidP="008C5B21">
      <w:r w:rsidRPr="008C5B21">
        <w:t>Relations Investisseurs : investisseurs@technovation-solutions.fr Relations Presse : presse@technovation-solutions.fr</w:t>
      </w:r>
    </w:p>
    <w:p w:rsidR="008C5B21" w:rsidRPr="008C5B21" w:rsidRDefault="008C5B21" w:rsidP="008C5B21">
      <w:r w:rsidRPr="008C5B21">
        <w:t>Document établi le 15 mars 2025 © 2025 TechNovation Solutions - Tous droits réservés</w:t>
      </w:r>
    </w:p>
    <w:p w:rsidR="006C176A" w:rsidRDefault="006C176A"/>
    <w:sectPr w:rsidR="006C176A" w:rsidSect="0065249D">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B21"/>
    <w:rsid w:val="001F7025"/>
    <w:rsid w:val="002537F4"/>
    <w:rsid w:val="00361A58"/>
    <w:rsid w:val="0065249D"/>
    <w:rsid w:val="006C176A"/>
    <w:rsid w:val="0071772A"/>
    <w:rsid w:val="008C5B21"/>
    <w:rsid w:val="009442B8"/>
    <w:rsid w:val="009A54C4"/>
    <w:rsid w:val="00C54841"/>
    <w:rsid w:val="00D5334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E3070"/>
  <w15:chartTrackingRefBased/>
  <w15:docId w15:val="{1CC8EE97-B10A-4BAA-9B90-7B3B638DD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fr-FR" w:eastAsia="en-US" w:bidi="ar-SA"/>
        <w14:ligatures w14:val="standardContextual"/>
      </w:rPr>
    </w:rPrDefault>
    <w:pPrDefault>
      <w:pPr>
        <w:spacing w:before="120" w:after="12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7F4"/>
  </w:style>
  <w:style w:type="paragraph" w:styleId="Titre1">
    <w:name w:val="heading 1"/>
    <w:basedOn w:val="Normal"/>
    <w:next w:val="Normal"/>
    <w:link w:val="Titre1Car"/>
    <w:uiPriority w:val="9"/>
    <w:qFormat/>
    <w:rsid w:val="008C5B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qFormat/>
    <w:rsid w:val="008C5B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qFormat/>
    <w:rsid w:val="008C5B2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C5B2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itre5">
    <w:name w:val="heading 5"/>
    <w:basedOn w:val="Normal"/>
    <w:next w:val="Normal"/>
    <w:link w:val="Titre5Car"/>
    <w:uiPriority w:val="9"/>
    <w:semiHidden/>
    <w:unhideWhenUsed/>
    <w:qFormat/>
    <w:rsid w:val="008C5B21"/>
    <w:pPr>
      <w:keepNext/>
      <w:keepLines/>
      <w:spacing w:before="80" w:after="40"/>
      <w:outlineLvl w:val="4"/>
    </w:pPr>
    <w:rPr>
      <w:rFonts w:asciiTheme="minorHAnsi" w:eastAsiaTheme="majorEastAsia" w:hAnsiTheme="minorHAnsi" w:cstheme="majorBidi"/>
      <w:color w:val="0F4761" w:themeColor="accent1" w:themeShade="BF"/>
    </w:rPr>
  </w:style>
  <w:style w:type="paragraph" w:styleId="Titre6">
    <w:name w:val="heading 6"/>
    <w:basedOn w:val="Normal"/>
    <w:next w:val="Normal"/>
    <w:link w:val="Titre6Car"/>
    <w:uiPriority w:val="9"/>
    <w:semiHidden/>
    <w:unhideWhenUsed/>
    <w:qFormat/>
    <w:rsid w:val="008C5B21"/>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8C5B21"/>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8C5B21"/>
    <w:pPr>
      <w:keepNext/>
      <w:keepLines/>
      <w:spacing w:before="0"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8C5B21"/>
    <w:pPr>
      <w:keepNext/>
      <w:keepLines/>
      <w:spacing w:before="0"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C5B2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2537F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2537F4"/>
    <w:rPr>
      <w:rFonts w:asciiTheme="minorHAnsi" w:eastAsiaTheme="majorEastAsia" w:hAnsiTheme="minorHAnsi" w:cstheme="majorBidi"/>
      <w:color w:val="0F4761" w:themeColor="accent1" w:themeShade="BF"/>
      <w:sz w:val="28"/>
      <w:szCs w:val="28"/>
    </w:rPr>
  </w:style>
  <w:style w:type="character" w:customStyle="1" w:styleId="Titre4Car">
    <w:name w:val="Titre 4 Car"/>
    <w:basedOn w:val="Policepardfaut"/>
    <w:link w:val="Titre4"/>
    <w:uiPriority w:val="9"/>
    <w:semiHidden/>
    <w:rsid w:val="008C5B21"/>
    <w:rPr>
      <w:rFonts w:asciiTheme="minorHAnsi" w:eastAsiaTheme="majorEastAsia" w:hAnsiTheme="minorHAnsi" w:cstheme="majorBidi"/>
      <w:i/>
      <w:iCs/>
      <w:color w:val="0F4761" w:themeColor="accent1" w:themeShade="BF"/>
    </w:rPr>
  </w:style>
  <w:style w:type="character" w:customStyle="1" w:styleId="Titre5Car">
    <w:name w:val="Titre 5 Car"/>
    <w:basedOn w:val="Policepardfaut"/>
    <w:link w:val="Titre5"/>
    <w:uiPriority w:val="9"/>
    <w:semiHidden/>
    <w:rsid w:val="008C5B21"/>
    <w:rPr>
      <w:rFonts w:asciiTheme="minorHAnsi" w:eastAsiaTheme="majorEastAsia" w:hAnsiTheme="minorHAnsi" w:cstheme="majorBidi"/>
      <w:color w:val="0F4761" w:themeColor="accent1" w:themeShade="BF"/>
    </w:rPr>
  </w:style>
  <w:style w:type="character" w:customStyle="1" w:styleId="Titre6Car">
    <w:name w:val="Titre 6 Car"/>
    <w:basedOn w:val="Policepardfaut"/>
    <w:link w:val="Titre6"/>
    <w:uiPriority w:val="9"/>
    <w:semiHidden/>
    <w:rsid w:val="008C5B21"/>
    <w:rPr>
      <w:rFonts w:asciiTheme="minorHAnsi" w:eastAsiaTheme="majorEastAsia" w:hAnsiTheme="minorHAnsi" w:cstheme="majorBidi"/>
      <w:i/>
      <w:iCs/>
      <w:color w:val="595959" w:themeColor="text1" w:themeTint="A6"/>
    </w:rPr>
  </w:style>
  <w:style w:type="character" w:customStyle="1" w:styleId="Titre7Car">
    <w:name w:val="Titre 7 Car"/>
    <w:basedOn w:val="Policepardfaut"/>
    <w:link w:val="Titre7"/>
    <w:uiPriority w:val="9"/>
    <w:semiHidden/>
    <w:rsid w:val="008C5B21"/>
    <w:rPr>
      <w:rFonts w:asciiTheme="minorHAnsi" w:eastAsiaTheme="majorEastAsia" w:hAnsiTheme="minorHAnsi" w:cstheme="majorBidi"/>
      <w:color w:val="595959" w:themeColor="text1" w:themeTint="A6"/>
    </w:rPr>
  </w:style>
  <w:style w:type="character" w:customStyle="1" w:styleId="Titre8Car">
    <w:name w:val="Titre 8 Car"/>
    <w:basedOn w:val="Policepardfaut"/>
    <w:link w:val="Titre8"/>
    <w:uiPriority w:val="9"/>
    <w:semiHidden/>
    <w:rsid w:val="008C5B21"/>
    <w:rPr>
      <w:rFonts w:asciiTheme="minorHAnsi" w:eastAsiaTheme="majorEastAsia" w:hAnsiTheme="minorHAnsi" w:cstheme="majorBidi"/>
      <w:i/>
      <w:iCs/>
      <w:color w:val="272727" w:themeColor="text1" w:themeTint="D8"/>
    </w:rPr>
  </w:style>
  <w:style w:type="character" w:customStyle="1" w:styleId="Titre9Car">
    <w:name w:val="Titre 9 Car"/>
    <w:basedOn w:val="Policepardfaut"/>
    <w:link w:val="Titre9"/>
    <w:uiPriority w:val="9"/>
    <w:semiHidden/>
    <w:rsid w:val="008C5B21"/>
    <w:rPr>
      <w:rFonts w:asciiTheme="minorHAnsi" w:eastAsiaTheme="majorEastAsia" w:hAnsiTheme="minorHAnsi" w:cstheme="majorBidi"/>
      <w:color w:val="272727" w:themeColor="text1" w:themeTint="D8"/>
    </w:rPr>
  </w:style>
  <w:style w:type="paragraph" w:styleId="Titre">
    <w:name w:val="Title"/>
    <w:basedOn w:val="Normal"/>
    <w:next w:val="Normal"/>
    <w:link w:val="TitreCar"/>
    <w:uiPriority w:val="10"/>
    <w:qFormat/>
    <w:rsid w:val="008C5B21"/>
    <w:pPr>
      <w:spacing w:before="0"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C5B2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C5B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C5B21"/>
    <w:rPr>
      <w:rFonts w:asciiTheme="minorHAnsi" w:eastAsiaTheme="majorEastAsia" w:hAnsiTheme="minorHAnsi" w:cstheme="majorBidi"/>
      <w:color w:val="595959" w:themeColor="text1" w:themeTint="A6"/>
      <w:spacing w:val="15"/>
      <w:sz w:val="28"/>
      <w:szCs w:val="28"/>
    </w:rPr>
  </w:style>
  <w:style w:type="paragraph" w:styleId="Citation">
    <w:name w:val="Quote"/>
    <w:basedOn w:val="Normal"/>
    <w:next w:val="Normal"/>
    <w:link w:val="CitationCar"/>
    <w:uiPriority w:val="29"/>
    <w:qFormat/>
    <w:rsid w:val="008C5B21"/>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8C5B21"/>
    <w:rPr>
      <w:i/>
      <w:iCs/>
      <w:color w:val="404040" w:themeColor="text1" w:themeTint="BF"/>
    </w:rPr>
  </w:style>
  <w:style w:type="paragraph" w:styleId="Paragraphedeliste">
    <w:name w:val="List Paragraph"/>
    <w:basedOn w:val="Normal"/>
    <w:uiPriority w:val="34"/>
    <w:qFormat/>
    <w:rsid w:val="008C5B21"/>
    <w:pPr>
      <w:ind w:left="720"/>
      <w:contextualSpacing/>
    </w:pPr>
  </w:style>
  <w:style w:type="character" w:styleId="Accentuationintense">
    <w:name w:val="Intense Emphasis"/>
    <w:basedOn w:val="Policepardfaut"/>
    <w:uiPriority w:val="21"/>
    <w:qFormat/>
    <w:rsid w:val="008C5B21"/>
    <w:rPr>
      <w:i/>
      <w:iCs/>
      <w:color w:val="0F4761" w:themeColor="accent1" w:themeShade="BF"/>
    </w:rPr>
  </w:style>
  <w:style w:type="paragraph" w:styleId="Citationintense">
    <w:name w:val="Intense Quote"/>
    <w:basedOn w:val="Normal"/>
    <w:next w:val="Normal"/>
    <w:link w:val="CitationintenseCar"/>
    <w:uiPriority w:val="30"/>
    <w:qFormat/>
    <w:rsid w:val="008C5B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C5B21"/>
    <w:rPr>
      <w:i/>
      <w:iCs/>
      <w:color w:val="0F4761" w:themeColor="accent1" w:themeShade="BF"/>
    </w:rPr>
  </w:style>
  <w:style w:type="character" w:styleId="Rfrenceintense">
    <w:name w:val="Intense Reference"/>
    <w:basedOn w:val="Policepardfaut"/>
    <w:uiPriority w:val="32"/>
    <w:qFormat/>
    <w:rsid w:val="008C5B21"/>
    <w:rPr>
      <w:b/>
      <w:bCs/>
      <w:smallCaps/>
      <w:color w:val="0F4761" w:themeColor="accent1" w:themeShade="BF"/>
      <w:spacing w:val="5"/>
    </w:rPr>
  </w:style>
  <w:style w:type="table" w:styleId="TableauGrille5Fonc-Accentuation5">
    <w:name w:val="Grid Table 5 Dark Accent 5"/>
    <w:basedOn w:val="TableauNormal"/>
    <w:uiPriority w:val="50"/>
    <w:rsid w:val="008C5B21"/>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Grilledutableau">
    <w:name w:val="Table Grid"/>
    <w:basedOn w:val="TableauNormal"/>
    <w:uiPriority w:val="39"/>
    <w:rsid w:val="002537F4"/>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2537F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4354</Words>
  <Characters>23947</Characters>
  <Application>Microsoft Office Word</Application>
  <DocSecurity>0</DocSecurity>
  <Lines>199</Lines>
  <Paragraphs>56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BILLAUD</dc:creator>
  <cp:keywords/>
  <dc:description/>
  <cp:lastModifiedBy>David BILLAUD</cp:lastModifiedBy>
  <cp:revision>1</cp:revision>
  <dcterms:created xsi:type="dcterms:W3CDTF">2025-09-23T12:46:00Z</dcterms:created>
  <dcterms:modified xsi:type="dcterms:W3CDTF">2025-09-23T14:53:00Z</dcterms:modified>
</cp:coreProperties>
</file>